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0" w:beforeAutospacing="0" w:after="750" w:afterAutospacing="0" w:line="24" w:lineRule="atLeast"/>
        <w:ind w:left="1050" w:right="1050" w:firstLine="0"/>
        <w:jc w:val="center"/>
      </w:pPr>
      <w:bookmarkStart w:id="0" w:name="_GoBack"/>
      <w:bookmarkEnd w:id="0"/>
      <w:r>
        <w:rPr>
          <w:rFonts w:hint="eastAsia" w:ascii="微软雅黑" w:hAnsi="微软雅黑" w:eastAsia="微软雅黑" w:cs="微软雅黑"/>
          <w:b w:val="0"/>
          <w:bCs w:val="0"/>
          <w:i w:val="0"/>
          <w:iCs w:val="0"/>
          <w:caps w:val="0"/>
          <w:color w:val="000000"/>
          <w:spacing w:val="0"/>
          <w:sz w:val="45"/>
          <w:szCs w:val="45"/>
          <w:shd w:val="clear" w:color="auto" w:fill="FFFFFF"/>
        </w:rPr>
        <w:t>本溪市南芬区环保局2018年度部门决算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Style w:val="6"/>
          <w:rFonts w:hint="eastAsia" w:ascii="宋体" w:hAnsi="宋体" w:eastAsia="宋体" w:cs="宋体"/>
          <w:i w:val="0"/>
          <w:iCs w:val="0"/>
          <w:caps w:val="0"/>
          <w:color w:val="333333"/>
          <w:spacing w:val="0"/>
          <w:sz w:val="24"/>
          <w:szCs w:val="24"/>
          <w:shd w:val="clear" w:color="auto" w:fill="FFFFFF"/>
        </w:rPr>
        <w:t>目</w:t>
      </w:r>
      <w:r>
        <w:rPr>
          <w:rStyle w:val="6"/>
          <w:rFonts w:hint="eastAsia" w:ascii="微软雅黑" w:hAnsi="微软雅黑" w:eastAsia="微软雅黑" w:cs="微软雅黑"/>
          <w:i w:val="0"/>
          <w:iCs w:val="0"/>
          <w:caps w:val="0"/>
          <w:color w:val="333333"/>
          <w:spacing w:val="0"/>
          <w:sz w:val="24"/>
          <w:szCs w:val="24"/>
          <w:shd w:val="clear" w:color="auto" w:fill="FFFFFF"/>
        </w:rPr>
        <w:t>    </w:t>
      </w:r>
      <w:r>
        <w:rPr>
          <w:rStyle w:val="6"/>
          <w:rFonts w:hint="eastAsia" w:ascii="宋体" w:hAnsi="宋体" w:eastAsia="宋体" w:cs="宋体"/>
          <w:i w:val="0"/>
          <w:iCs w:val="0"/>
          <w:caps w:val="0"/>
          <w:color w:val="333333"/>
          <w:spacing w:val="0"/>
          <w:sz w:val="24"/>
          <w:szCs w:val="24"/>
          <w:shd w:val="clear" w:color="auto" w:fill="FFFFFF"/>
        </w:rPr>
        <w:t>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Style w:val="6"/>
          <w:rFonts w:hint="eastAsia" w:ascii="微软雅黑" w:hAnsi="微软雅黑" w:eastAsia="微软雅黑" w:cs="微软雅黑"/>
          <w:i w:val="0"/>
          <w:iCs w:val="0"/>
          <w:caps w:val="0"/>
          <w:color w:val="333333"/>
          <w:spacing w:val="0"/>
          <w:sz w:val="24"/>
          <w:szCs w:val="24"/>
          <w:u w:val="single"/>
          <w:shd w:val="clear" w:color="auto" w:fill="FFFFFF"/>
        </w:rPr>
        <w:t> </w:t>
      </w:r>
      <w:r>
        <w:rPr>
          <w:rFonts w:ascii="黑体" w:hAnsi="宋体" w:eastAsia="黑体" w:cs="黑体"/>
          <w:i w:val="0"/>
          <w:iCs w:val="0"/>
          <w:caps w:val="0"/>
          <w:color w:val="333333"/>
          <w:spacing w:val="0"/>
          <w:sz w:val="24"/>
          <w:szCs w:val="24"/>
          <w:shd w:val="clear" w:color="auto" w:fill="FFFFFF"/>
        </w:rPr>
        <w:t>第一部分    本溪市南芬区环保局概况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pPr>
      <w:r>
        <w:rPr>
          <w:rFonts w:hint="eastAsia" w:ascii="仿宋_GB2312" w:hAnsi="微软雅黑" w:eastAsia="仿宋_GB2312" w:cs="仿宋_GB2312"/>
          <w:i w:val="0"/>
          <w:iCs w:val="0"/>
          <w:caps w:val="0"/>
          <w:color w:val="333333"/>
          <w:spacing w:val="0"/>
          <w:sz w:val="24"/>
          <w:szCs w:val="24"/>
          <w:shd w:val="clear" w:color="auto" w:fill="FFFFFF"/>
          <w:lang w:eastAsia="zh-CN"/>
        </w:rPr>
        <w:t>一、</w:t>
      </w:r>
      <w:r>
        <w:rPr>
          <w:rFonts w:hint="default" w:ascii="仿宋_GB2312" w:hAnsi="微软雅黑" w:eastAsia="仿宋_GB2312" w:cs="仿宋_GB2312"/>
          <w:i w:val="0"/>
          <w:iCs w:val="0"/>
          <w:caps w:val="0"/>
          <w:color w:val="333333"/>
          <w:spacing w:val="0"/>
          <w:sz w:val="24"/>
          <w:szCs w:val="24"/>
          <w:shd w:val="clear" w:color="auto" w:fill="FFFFFF"/>
        </w:rPr>
        <w:t>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960" w:firstLineChars="400"/>
        <w:textAlignment w:val="auto"/>
        <w:rPr>
          <w:rFonts w:hint="eastAsia" w:eastAsia="仿宋_GB2312"/>
          <w:lang w:eastAsia="zh-CN"/>
        </w:rPr>
      </w:pPr>
      <w:r>
        <w:rPr>
          <w:rFonts w:hint="eastAsia" w:ascii="仿宋_GB2312" w:hAnsi="微软雅黑" w:eastAsia="仿宋_GB2312" w:cs="仿宋_GB2312"/>
          <w:i w:val="0"/>
          <w:iCs w:val="0"/>
          <w:caps w:val="0"/>
          <w:color w:val="333333"/>
          <w:spacing w:val="0"/>
          <w:sz w:val="24"/>
          <w:szCs w:val="24"/>
          <w:shd w:val="clear" w:color="auto" w:fill="FFFFFF"/>
          <w:lang w:eastAsia="zh-CN"/>
        </w:rPr>
        <w:t>二、机构设置情况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黑体" w:hAnsi="宋体" w:eastAsia="黑体" w:cs="黑体"/>
          <w:i w:val="0"/>
          <w:iCs w:val="0"/>
          <w:caps w:val="0"/>
          <w:color w:val="333333"/>
          <w:spacing w:val="0"/>
          <w:sz w:val="24"/>
          <w:szCs w:val="24"/>
          <w:shd w:val="clear" w:color="auto" w:fill="FFFFFF"/>
        </w:rPr>
        <w:t>第二部分    本溪市南芬区环保局2018年度部门决算报表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一、</w:t>
      </w:r>
      <w:r>
        <w:rPr>
          <w:rFonts w:ascii="Times New Roman" w:hAnsi="Times New Roman" w:eastAsia="仿宋_GB2312" w:cs="Times New Roman"/>
          <w:i w:val="0"/>
          <w:iCs w:val="0"/>
          <w:caps w:val="0"/>
          <w:color w:val="333333"/>
          <w:spacing w:val="0"/>
          <w:sz w:val="13"/>
          <w:szCs w:val="13"/>
          <w:shd w:val="clear" w:color="auto" w:fill="FFFFFF"/>
        </w:rPr>
        <w:t>    </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二、</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2018年度收入决算表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三、</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四、</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2018年度财政拨款收入支出决算表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五、</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2018年度一般公共预算财政拨款收入支出决算表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六、</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2018年度一般公共预算财政拨款基本支出决算表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七、</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2018年度政府性基金财政拨款收入支出决算表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八、</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2018年度财政专户管理资金收入支出决算表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Fonts w:hint="default" w:ascii="仿宋_GB2312" w:hAnsi="微软雅黑" w:eastAsia="仿宋_GB2312" w:cs="仿宋_GB2312"/>
          <w:i w:val="0"/>
          <w:iCs w:val="0"/>
          <w:caps w:val="0"/>
          <w:color w:val="333333"/>
          <w:spacing w:val="0"/>
          <w:sz w:val="24"/>
          <w:szCs w:val="24"/>
          <w:shd w:val="clear" w:color="auto" w:fill="FFFFFF"/>
        </w:rPr>
        <w:t>九、</w:t>
      </w:r>
      <w:r>
        <w:rPr>
          <w:rFonts w:hint="default" w:ascii="Times New Roman" w:hAnsi="Times New Roman" w:eastAsia="仿宋_GB2312" w:cs="Times New Roman"/>
          <w:i w:val="0"/>
          <w:iCs w:val="0"/>
          <w:caps w:val="0"/>
          <w:color w:val="333333"/>
          <w:spacing w:val="0"/>
          <w:sz w:val="13"/>
          <w:szCs w:val="13"/>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2018年度一般公共预算财政拨款“三公”经费支出决算表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黑体" w:hAnsi="宋体" w:eastAsia="黑体" w:cs="黑体"/>
          <w:i w:val="0"/>
          <w:iCs w:val="0"/>
          <w:caps w:val="0"/>
          <w:color w:val="333333"/>
          <w:spacing w:val="0"/>
          <w:sz w:val="24"/>
          <w:szCs w:val="24"/>
          <w:shd w:val="clear" w:color="auto" w:fill="FFFFFF"/>
        </w:rPr>
        <w:t>第三部分    本溪市南芬区环保局2018年度部门决算情况说明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pPr>
      <w:r>
        <w:rPr>
          <w:rFonts w:hint="eastAsia" w:ascii="黑体" w:hAnsi="宋体" w:eastAsia="黑体" w:cs="黑体"/>
          <w:i w:val="0"/>
          <w:iCs w:val="0"/>
          <w:caps w:val="0"/>
          <w:color w:val="333333"/>
          <w:spacing w:val="0"/>
          <w:sz w:val="24"/>
          <w:szCs w:val="24"/>
          <w:shd w:val="clear" w:color="auto" w:fill="FFFFFF"/>
        </w:rPr>
        <w:t>第四部分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pPr>
      <w:r>
        <w:rPr>
          <w:rStyle w:val="6"/>
          <w:rFonts w:hint="eastAsia" w:ascii="宋体" w:hAnsi="宋体" w:eastAsia="宋体" w:cs="宋体"/>
          <w:i w:val="0"/>
          <w:iCs w:val="0"/>
          <w:caps w:val="0"/>
          <w:color w:val="333333"/>
          <w:spacing w:val="0"/>
          <w:sz w:val="24"/>
          <w:szCs w:val="24"/>
          <w:shd w:val="clear" w:color="auto" w:fill="FFFFFF"/>
        </w:rPr>
        <w:t>第一部分 本溪市南芬区环保局概况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jc w:val="left"/>
        <w:textAlignment w:val="auto"/>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jc w:val="left"/>
        <w:textAlignment w:val="auto"/>
      </w:pPr>
      <w:r>
        <w:rPr>
          <w:rFonts w:hint="eastAsia" w:ascii="黑体" w:hAnsi="宋体" w:eastAsia="黑体" w:cs="黑体"/>
          <w:i w:val="0"/>
          <w:iCs w:val="0"/>
          <w:caps w:val="0"/>
          <w:color w:val="333333"/>
          <w:spacing w:val="0"/>
          <w:sz w:val="24"/>
          <w:szCs w:val="24"/>
          <w:shd w:val="clear" w:color="auto" w:fill="FFFFFF"/>
        </w:rPr>
        <w:t>一、</w:t>
      </w:r>
      <w:r>
        <w:rPr>
          <w:rFonts w:hint="default" w:ascii="Times New Roman" w:hAnsi="Times New Roman" w:eastAsia="黑体" w:cs="Times New Roman"/>
          <w:i w:val="0"/>
          <w:iCs w:val="0"/>
          <w:caps w:val="0"/>
          <w:color w:val="333333"/>
          <w:spacing w:val="0"/>
          <w:sz w:val="13"/>
          <w:szCs w:val="13"/>
          <w:shd w:val="clear" w:color="auto" w:fill="FFFFFF"/>
        </w:rPr>
        <w:t>    </w:t>
      </w:r>
      <w:r>
        <w:rPr>
          <w:rFonts w:hint="eastAsia" w:ascii="黑体" w:hAnsi="宋体" w:eastAsia="黑体" w:cs="黑体"/>
          <w:i w:val="0"/>
          <w:iCs w:val="0"/>
          <w:caps w:val="0"/>
          <w:color w:val="333333"/>
          <w:spacing w:val="0"/>
          <w:sz w:val="24"/>
          <w:szCs w:val="24"/>
          <w:shd w:val="clear" w:color="auto" w:fill="FFFFFF"/>
        </w:rPr>
        <w:t>主要职责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rPr>
          <w:rFonts w:hint="eastAsia" w:ascii="宋体" w:hAnsi="宋体" w:eastAsia="宋体" w:cs="宋体"/>
          <w:i w:val="0"/>
          <w:iCs w:val="0"/>
          <w:caps w:val="0"/>
          <w:color w:val="333333"/>
          <w:spacing w:val="0"/>
          <w:sz w:val="24"/>
          <w:szCs w:val="24"/>
          <w:shd w:val="clear" w:color="auto" w:fill="FFFFFF"/>
        </w:rPr>
      </w:pPr>
      <w:r>
        <w:rPr>
          <w:rFonts w:hint="eastAsia" w:ascii="宋体" w:hAnsi="宋体" w:eastAsia="宋体" w:cs="宋体"/>
          <w:i w:val="0"/>
          <w:iCs w:val="0"/>
          <w:caps w:val="0"/>
          <w:color w:val="333333"/>
          <w:spacing w:val="0"/>
          <w:sz w:val="24"/>
          <w:szCs w:val="24"/>
          <w:shd w:val="clear" w:color="auto" w:fill="FFFFFF"/>
        </w:rPr>
        <w:t>（一）贯彻执行国家和省、市环境保护政策、规划、法律、法规；组织编制环境功能区划；组织拟定并监督实施全区流域、区域污染防治规划和饮用水水源地环境保护规划。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二）牵头协调处理区重特大环境污染事故和生态破坏事件的调查处理，负责小区内并指导协调各乡、镇、办事处重特大突发环境事件的应急、预警工作；协调解决有关跨区域环境污染纠纷，负责全区流域、区域污染防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三）承担落实国家及省、市减排目标的责任；承担实行总量控制的污染物和控制指标的组织实施责任；组织实施排污许可证制度；督查、督办、核查污染物减排任务完成情况，实施环境保护目标责任制、总量减排考核并公布考核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（四）负责提出环境保护领域固定资产投资及财政性资金安排意见，并配合有关部门做好组织实施和监督工作；参与指导和推动循环经济和环保产业发展。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五）承担从源头上预防、控制环境污染和环境破坏的责任；受区政府委托对重大经济和技术政策、发展规划一集重大经济开发计划提出环境保护意见，对涉及环境保护的法律、法规（草案）提出有关环境影响方面的意见；按相关规定审批开发建设区域、项目环境影响评价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（六）制定水体、大气、土壤、噪声、光、恶臭、固体废物、化学品、机动车等的污染防治管理制度并组织实施；会同有关部门监督管理饮用水水源地环境保护工作；组织指导城镇和农村的环境综合整治工作。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（七）拟订生态保护规划，组织评估生态环境质量状况，监督对生态环境有影响的自然资源开展利用活动、重要生态环境建设和生态破坏恢复工作；协调、组织实施和监督各种类型的地质遗迹环境保护工作。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八）贯彻执行国家和省、市地方有关政策、规划、标准，承担核事故应急处理和辐射环境事故应急处理工作，监督管理核设施、核技术应用、电磁辐射、伴有放射性矿产资源开发利用中的污染防治，对核材料的管理和民用核安全设备的设计、制造、安装和无损检验活动实施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九）贯彻落实国家环境监测制度和规范，组织实施环境质量监测和污染源监督性监测等；组织对地方环境质量状况进行调查评估、预测预警；组织建设和管理地方环境监测网和环境信息网，建立和实行环境质量公告制度。统一发布地方环境综合性报告和重大环境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（十）开展环境保护科技与环保产业工作，组织环境保护科学研究和技术工程示范，推动环境技术管理体系建设。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（十一）组织并监督实施</w:t>
      </w:r>
      <w:r>
        <w:rPr>
          <w:rFonts w:hint="eastAsia" w:ascii="微软雅黑" w:hAnsi="微软雅黑" w:eastAsia="微软雅黑" w:cs="微软雅黑"/>
          <w:i w:val="0"/>
          <w:iCs w:val="0"/>
          <w:caps w:val="0"/>
          <w:color w:val="333333"/>
          <w:spacing w:val="0"/>
          <w:sz w:val="24"/>
          <w:szCs w:val="24"/>
          <w:shd w:val="clear" w:color="auto" w:fill="FFFFFF"/>
        </w:rPr>
        <w:t>ISO14000</w:t>
      </w:r>
      <w:r>
        <w:rPr>
          <w:rFonts w:hint="eastAsia" w:ascii="宋体" w:hAnsi="宋体" w:eastAsia="宋体" w:cs="宋体"/>
          <w:i w:val="0"/>
          <w:iCs w:val="0"/>
          <w:caps w:val="0"/>
          <w:color w:val="333333"/>
          <w:spacing w:val="0"/>
          <w:sz w:val="24"/>
          <w:szCs w:val="24"/>
          <w:shd w:val="clear" w:color="auto" w:fill="FFFFFF"/>
        </w:rPr>
        <w:t>环境管理体系建设。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（十二）组织开展环境保护宣传教育工作，制定并组织实施地方环境保护宣传教育纲要，开展生态文明建设和环境友好型社会建设的有关宣传教育工作，推动社会公众和社会组织参与环境保护。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80"/>
        <w:textAlignment w:val="auto"/>
      </w:pPr>
      <w:r>
        <w:rPr>
          <w:rFonts w:hint="eastAsia" w:ascii="宋体" w:hAnsi="宋体" w:eastAsia="宋体" w:cs="宋体"/>
          <w:i w:val="0"/>
          <w:iCs w:val="0"/>
          <w:caps w:val="0"/>
          <w:color w:val="333333"/>
          <w:spacing w:val="0"/>
          <w:sz w:val="24"/>
          <w:szCs w:val="24"/>
          <w:shd w:val="clear" w:color="auto" w:fill="FFFFFF"/>
        </w:rPr>
        <w:t>（十三）承办区政府交办的其他事项。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720" w:right="0"/>
        <w:textAlignment w:val="auto"/>
      </w:pPr>
      <w:r>
        <w:rPr>
          <w:rStyle w:val="6"/>
          <w:rFonts w:hint="eastAsia" w:ascii="黑体" w:hAnsi="宋体" w:eastAsia="黑体" w:cs="黑体"/>
          <w:i w:val="0"/>
          <w:iCs w:val="0"/>
          <w:caps w:val="0"/>
          <w:color w:val="333333"/>
          <w:spacing w:val="0"/>
          <w:sz w:val="24"/>
          <w:szCs w:val="24"/>
          <w:shd w:val="clear" w:color="auto" w:fill="FFFFFF"/>
        </w:rPr>
        <w:t>二、</w:t>
      </w:r>
      <w:r>
        <w:rPr>
          <w:rStyle w:val="6"/>
          <w:rFonts w:hint="default" w:ascii="Times New Roman" w:hAnsi="Times New Roman" w:eastAsia="黑体" w:cs="Times New Roman"/>
          <w:i w:val="0"/>
          <w:iCs w:val="0"/>
          <w:caps w:val="0"/>
          <w:color w:val="333333"/>
          <w:spacing w:val="0"/>
          <w:sz w:val="13"/>
          <w:szCs w:val="13"/>
          <w:shd w:val="clear" w:color="auto" w:fill="FFFFFF"/>
        </w:rPr>
        <w:t>   </w:t>
      </w:r>
      <w:r>
        <w:rPr>
          <w:rStyle w:val="6"/>
          <w:rFonts w:hint="eastAsia" w:ascii="黑体" w:hAnsi="宋体" w:eastAsia="黑体" w:cs="黑体"/>
          <w:i w:val="0"/>
          <w:iCs w:val="0"/>
          <w:caps w:val="0"/>
          <w:color w:val="333333"/>
          <w:spacing w:val="0"/>
          <w:sz w:val="24"/>
          <w:szCs w:val="24"/>
          <w:shd w:val="clear" w:color="auto" w:fill="FFFFFF"/>
        </w:rPr>
        <w:t>机构设置情况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eastAsia="宋体"/>
          <w:lang w:eastAsia="zh-CN"/>
        </w:rPr>
      </w:pPr>
      <w:r>
        <w:rPr>
          <w:rStyle w:val="6"/>
          <w:rFonts w:hint="eastAsia" w:ascii="宋体" w:hAnsi="宋体" w:eastAsia="宋体" w:cs="宋体"/>
          <w:i w:val="0"/>
          <w:iCs w:val="0"/>
          <w:caps w:val="0"/>
          <w:color w:val="333333"/>
          <w:spacing w:val="0"/>
          <w:sz w:val="24"/>
          <w:szCs w:val="24"/>
          <w:shd w:val="clear" w:color="auto" w:fill="FFFFFF"/>
        </w:rPr>
        <w:t>     </w:t>
      </w:r>
      <w:r>
        <w:rPr>
          <w:rFonts w:hint="eastAsia" w:ascii="宋体" w:hAnsi="宋体" w:eastAsia="宋体" w:cs="宋体"/>
          <w:i w:val="0"/>
          <w:iCs w:val="0"/>
          <w:caps w:val="0"/>
          <w:color w:val="333333"/>
          <w:spacing w:val="0"/>
          <w:sz w:val="24"/>
          <w:szCs w:val="24"/>
          <w:shd w:val="clear" w:color="auto" w:fill="FFFFFF"/>
        </w:rPr>
        <w:t>南芬区环保局</w:t>
      </w:r>
      <w:r>
        <w:rPr>
          <w:rFonts w:hint="eastAsia" w:ascii="宋体" w:hAnsi="宋体" w:cs="宋体"/>
          <w:i w:val="0"/>
          <w:iCs w:val="0"/>
          <w:caps w:val="0"/>
          <w:color w:val="333333"/>
          <w:spacing w:val="0"/>
          <w:sz w:val="24"/>
          <w:szCs w:val="24"/>
          <w:shd w:val="clear" w:color="auto" w:fill="FFFFFF"/>
          <w:lang w:eastAsia="zh-CN"/>
        </w:rPr>
        <w:t>是纳入</w:t>
      </w:r>
      <w:r>
        <w:rPr>
          <w:rFonts w:hint="eastAsia" w:ascii="宋体" w:hAnsi="宋体" w:eastAsia="宋体" w:cs="宋体"/>
          <w:i w:val="0"/>
          <w:iCs w:val="0"/>
          <w:caps w:val="0"/>
          <w:color w:val="333333"/>
          <w:spacing w:val="0"/>
          <w:sz w:val="24"/>
          <w:szCs w:val="24"/>
          <w:shd w:val="clear" w:color="auto" w:fill="FFFFFF"/>
        </w:rPr>
        <w:t>2018年</w:t>
      </w:r>
      <w:r>
        <w:rPr>
          <w:rFonts w:hint="eastAsia" w:ascii="宋体" w:hAnsi="宋体" w:cs="宋体"/>
          <w:i w:val="0"/>
          <w:iCs w:val="0"/>
          <w:caps w:val="0"/>
          <w:color w:val="333333"/>
          <w:spacing w:val="0"/>
          <w:sz w:val="24"/>
          <w:szCs w:val="24"/>
          <w:shd w:val="clear" w:color="auto" w:fill="FFFFFF"/>
          <w:lang w:eastAsia="zh-CN"/>
        </w:rPr>
        <w:t>部门决算的一级预算</w:t>
      </w:r>
      <w:r>
        <w:rPr>
          <w:rFonts w:hint="eastAsia" w:ascii="宋体" w:hAnsi="宋体" w:eastAsia="宋体" w:cs="宋体"/>
          <w:i w:val="0"/>
          <w:iCs w:val="0"/>
          <w:caps w:val="0"/>
          <w:color w:val="333333"/>
          <w:spacing w:val="0"/>
          <w:sz w:val="24"/>
          <w:szCs w:val="24"/>
          <w:shd w:val="clear" w:color="auto" w:fill="FFFFFF"/>
        </w:rPr>
        <w:t>单位。</w:t>
      </w:r>
      <w:r>
        <w:rPr>
          <w:rFonts w:hint="eastAsia" w:ascii="宋体" w:hAnsi="宋体" w:cs="宋体"/>
          <w:i w:val="0"/>
          <w:iCs w:val="0"/>
          <w:caps w:val="0"/>
          <w:color w:val="333333"/>
          <w:spacing w:val="0"/>
          <w:sz w:val="24"/>
          <w:szCs w:val="24"/>
          <w:shd w:val="clear" w:color="auto" w:fill="FFFFFF"/>
          <w:lang w:eastAsia="zh-CN"/>
        </w:rPr>
        <w:t>内设办公室、财务室、环境监察大队。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480"/>
      </w:pPr>
      <w:r>
        <w:rPr>
          <w:rFonts w:hint="default" w:ascii="仿宋_GB2312" w:hAnsi="微软雅黑" w:eastAsia="仿宋_GB2312" w:cs="仿宋_GB2312"/>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宋体" w:hAnsi="宋体" w:eastAsia="宋体" w:cs="宋体"/>
          <w:i w:val="0"/>
          <w:iCs w:val="0"/>
          <w:caps w:val="0"/>
          <w:color w:val="333333"/>
          <w:spacing w:val="0"/>
          <w:sz w:val="24"/>
          <w:szCs w:val="24"/>
          <w:shd w:val="clear" w:color="auto" w:fill="FFFFFF"/>
        </w:rPr>
        <w:t>第二部分 本溪市南芬区环保局2018年度部门决算公开报表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05"/>
        <w:gridCol w:w="518"/>
        <w:gridCol w:w="958"/>
        <w:gridCol w:w="3160"/>
        <w:gridCol w:w="518"/>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14220" w:type="dxa"/>
            <w:gridSpan w:val="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2018年度收入支出决算总表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atLeast"/>
        </w:trPr>
        <w:tc>
          <w:tcPr>
            <w:tcW w:w="531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编制单位：</w:t>
            </w:r>
          </w:p>
        </w:tc>
        <w:tc>
          <w:tcPr>
            <w:tcW w:w="70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03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433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70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214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7050" w:type="dxa"/>
            <w:gridSpan w:val="3"/>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收入</w:t>
            </w:r>
          </w:p>
        </w:tc>
        <w:tc>
          <w:tcPr>
            <w:tcW w:w="7170"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行次</w:t>
            </w:r>
          </w:p>
        </w:tc>
        <w:tc>
          <w:tcPr>
            <w:tcW w:w="10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金额</w:t>
            </w: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行次</w:t>
            </w:r>
          </w:p>
        </w:tc>
        <w:tc>
          <w:tcPr>
            <w:tcW w:w="214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栏次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w:t>
            </w: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栏次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14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一、财政拨款收入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一、一般公共服务支出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32</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其中：政府性基金预算财政拨款</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二、外交支出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33</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二、上级补助收入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三、国防支出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34</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三、事业收入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4</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四、公共安全支出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35</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四、经营收入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五、教育支出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36</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五、附属单位上缴收入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六、科学技术支出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37</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六、其他收入</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7</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七、文化体育与传媒支出</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38</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8</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39</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本年收入合计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24</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345.62</w:t>
            </w: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本年支出合计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55</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306.18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用事业基金弥补收支差额</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25</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结余分配</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56</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年初结转和结余</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26</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68.18　</w:t>
            </w: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其中：提取职工福利基金</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57</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其中：项目支出结转和结余</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27</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56.5　</w:t>
            </w: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转入事业基金</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58</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28</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年末结转和结余</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59</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nil"/>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nil"/>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29</w:t>
            </w:r>
          </w:p>
        </w:tc>
        <w:tc>
          <w:tcPr>
            <w:tcW w:w="1035" w:type="dxa"/>
            <w:tcBorders>
              <w:top w:val="nil"/>
              <w:left w:val="nil"/>
              <w:bottom w:val="nil"/>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nil"/>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其中：项目支出结转和结余</w:t>
            </w:r>
          </w:p>
        </w:tc>
        <w:tc>
          <w:tcPr>
            <w:tcW w:w="705" w:type="dxa"/>
            <w:tcBorders>
              <w:top w:val="nil"/>
              <w:left w:val="nil"/>
              <w:bottom w:val="nil"/>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60</w:t>
            </w:r>
          </w:p>
        </w:tc>
        <w:tc>
          <w:tcPr>
            <w:tcW w:w="2145" w:type="dxa"/>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105.73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 w:hRule="atLeast"/>
        </w:trPr>
        <w:tc>
          <w:tcPr>
            <w:tcW w:w="5310" w:type="dxa"/>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30</w:t>
            </w:r>
          </w:p>
        </w:tc>
        <w:tc>
          <w:tcPr>
            <w:tcW w:w="1035" w:type="dxa"/>
            <w:tcBorders>
              <w:top w:val="single" w:color="auto" w:sz="6" w:space="0"/>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5" w:type="dxa"/>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61</w:t>
            </w:r>
          </w:p>
        </w:tc>
        <w:tc>
          <w:tcPr>
            <w:tcW w:w="214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5310" w:type="dxa"/>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总计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31</w:t>
            </w:r>
          </w:p>
        </w:tc>
        <w:tc>
          <w:tcPr>
            <w:tcW w:w="1035" w:type="dxa"/>
            <w:tcBorders>
              <w:top w:val="nil"/>
              <w:left w:val="nil"/>
              <w:bottom w:val="single" w:color="auto" w:sz="6" w:space="0"/>
              <w:right w:val="single" w:color="auto" w:sz="6" w:space="0"/>
            </w:tcBorders>
            <w:shd w:val="clear" w:color="auto" w:fill="auto"/>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33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总计</w:t>
            </w:r>
          </w:p>
        </w:tc>
        <w:tc>
          <w:tcPr>
            <w:tcW w:w="7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62</w:t>
            </w:r>
          </w:p>
        </w:tc>
        <w:tc>
          <w:tcPr>
            <w:tcW w:w="214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4220" w:type="dxa"/>
            <w:gridSpan w:val="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注：本表反映部门本年度的总收支和年末结转结余情况。</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公开02表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95"/>
        <w:gridCol w:w="2925"/>
        <w:gridCol w:w="1680"/>
        <w:gridCol w:w="2190"/>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190" w:type="dxa"/>
            <w:gridSpan w:val="4"/>
            <w:tcBorders>
              <w:top w:val="single" w:color="DDDDDD" w:sz="6" w:space="0"/>
              <w:left w:val="single" w:color="DDDDDD" w:sz="6" w:space="0"/>
              <w:bottom w:val="single" w:color="DDDDDD" w:sz="6" w:space="0"/>
              <w:right w:val="single" w:color="DDDDDD"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2018年度收入决算表</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4320"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    目</w:t>
            </w:r>
          </w:p>
        </w:tc>
        <w:tc>
          <w:tcPr>
            <w:tcW w:w="1680" w:type="dxa"/>
            <w:vMerge w:val="restart"/>
            <w:tcBorders>
              <w:top w:val="single" w:color="000000" w:sz="6" w:space="0"/>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本年收入合计</w:t>
            </w:r>
          </w:p>
        </w:tc>
        <w:tc>
          <w:tcPr>
            <w:tcW w:w="2190" w:type="dxa"/>
            <w:vMerge w:val="restart"/>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财政拨款收入</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95" w:type="dxa"/>
            <w:vMerge w:val="restart"/>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功能分类科目编码</w:t>
            </w:r>
          </w:p>
        </w:tc>
        <w:tc>
          <w:tcPr>
            <w:tcW w:w="2925" w:type="dxa"/>
            <w:vMerge w:val="restart"/>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科目名称</w:t>
            </w:r>
          </w:p>
        </w:tc>
        <w:tc>
          <w:tcPr>
            <w:tcW w:w="1680" w:type="dxa"/>
            <w:vMerge w:val="continue"/>
            <w:tcBorders>
              <w:top w:val="single" w:color="000000" w:sz="6" w:space="0"/>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2190"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395" w:type="dxa"/>
            <w:vMerge w:val="continue"/>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2925" w:type="dxa"/>
            <w:vMerge w:val="continue"/>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680" w:type="dxa"/>
            <w:vMerge w:val="continue"/>
            <w:tcBorders>
              <w:top w:val="single" w:color="000000" w:sz="6" w:space="0"/>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2190"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4320"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栏次</w:t>
            </w:r>
          </w:p>
        </w:tc>
        <w:tc>
          <w:tcPr>
            <w:tcW w:w="1680" w:type="dxa"/>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w:t>
            </w:r>
          </w:p>
        </w:tc>
        <w:tc>
          <w:tcPr>
            <w:tcW w:w="2190" w:type="dxa"/>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4320"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合计</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345.62</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345.62</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节能环保支出</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334.86</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334.86</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环境保护管理事务</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163.06</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163.06</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行政运行</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2110103</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机关服务</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138.69</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138.69</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污染防治</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2110301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大气</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住房保障支出</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ascii="华文中宋" w:hAnsi="华文中宋" w:eastAsia="华文中宋" w:cs="华文中宋"/>
                <w:color w:val="000000"/>
                <w:sz w:val="24"/>
                <w:szCs w:val="24"/>
              </w:rPr>
              <w:t>10.76</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住房改革支出</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395"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2210201</w:t>
            </w:r>
          </w:p>
        </w:tc>
        <w:tc>
          <w:tcPr>
            <w:tcW w:w="292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住房公积金</w:t>
            </w:r>
          </w:p>
        </w:tc>
        <w:tc>
          <w:tcPr>
            <w:tcW w:w="168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21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黑体" w:hAnsi="宋体" w:eastAsia="黑体" w:cs="黑体"/>
          <w:i w:val="0"/>
          <w:iCs w:val="0"/>
          <w:caps w:val="0"/>
          <w:color w:val="333333"/>
          <w:spacing w:val="0"/>
          <w:sz w:val="24"/>
          <w:szCs w:val="24"/>
          <w:shd w:val="clear" w:color="auto" w:fill="FFFFFF"/>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91"/>
        <w:gridCol w:w="2794"/>
        <w:gridCol w:w="1590"/>
        <w:gridCol w:w="1416"/>
        <w:gridCol w:w="1416"/>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307" w:type="dxa"/>
            <w:gridSpan w:val="5"/>
            <w:tcBorders>
              <w:top w:val="nil"/>
              <w:left w:val="nil"/>
              <w:bottom w:val="single" w:color="auto" w:sz="6" w:space="0"/>
              <w:right w:val="nil"/>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color w:val="000000"/>
                <w:sz w:val="24"/>
                <w:szCs w:val="24"/>
              </w:rPr>
              <w:t>公开03表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2018年度支出决算表  </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388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    目</w:t>
            </w:r>
          </w:p>
        </w:tc>
        <w:tc>
          <w:tcPr>
            <w:tcW w:w="1590" w:type="dxa"/>
            <w:vMerge w:val="restart"/>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本年支出合计</w:t>
            </w:r>
          </w:p>
        </w:tc>
        <w:tc>
          <w:tcPr>
            <w:tcW w:w="1416" w:type="dxa"/>
            <w:vMerge w:val="restart"/>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基本支出</w:t>
            </w:r>
          </w:p>
        </w:tc>
        <w:tc>
          <w:tcPr>
            <w:tcW w:w="1416" w:type="dxa"/>
            <w:vMerge w:val="restart"/>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项目支出</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91" w:type="dxa"/>
            <w:vMerge w:val="restart"/>
            <w:tcBorders>
              <w:top w:val="nil"/>
              <w:left w:val="single" w:color="000000" w:sz="6" w:space="0"/>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功能分类科目编码</w:t>
            </w:r>
          </w:p>
        </w:tc>
        <w:tc>
          <w:tcPr>
            <w:tcW w:w="2794" w:type="dxa"/>
            <w:vMerge w:val="restart"/>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科目名称</w:t>
            </w:r>
          </w:p>
        </w:tc>
        <w:tc>
          <w:tcPr>
            <w:tcW w:w="1590" w:type="dxa"/>
            <w:vMerge w:val="continue"/>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16" w:type="dxa"/>
            <w:vMerge w:val="continue"/>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16" w:type="dxa"/>
            <w:vMerge w:val="continue"/>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091" w:type="dxa"/>
            <w:vMerge w:val="continue"/>
            <w:tcBorders>
              <w:top w:val="nil"/>
              <w:left w:val="single" w:color="000000" w:sz="6" w:space="0"/>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2794" w:type="dxa"/>
            <w:vMerge w:val="continue"/>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590" w:type="dxa"/>
            <w:vMerge w:val="continue"/>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16" w:type="dxa"/>
            <w:vMerge w:val="continue"/>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16" w:type="dxa"/>
            <w:vMerge w:val="continue"/>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rPr>
                <w:rFonts w:hint="eastAsia" w:ascii="宋体"/>
                <w:sz w:val="24"/>
                <w:szCs w:val="24"/>
              </w:rPr>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885" w:type="dxa"/>
            <w:gridSpan w:val="2"/>
            <w:tcBorders>
              <w:top w:val="nil"/>
              <w:left w:val="single" w:color="000000" w:sz="6" w:space="0"/>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栏次</w:t>
            </w:r>
          </w:p>
        </w:tc>
        <w:tc>
          <w:tcPr>
            <w:tcW w:w="1590" w:type="dxa"/>
            <w:tcBorders>
              <w:top w:val="nil"/>
              <w:left w:val="nil"/>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w:t>
            </w:r>
          </w:p>
        </w:tc>
        <w:tc>
          <w:tcPr>
            <w:tcW w:w="1416" w:type="dxa"/>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w:t>
            </w:r>
          </w:p>
        </w:tc>
        <w:tc>
          <w:tcPr>
            <w:tcW w:w="1416" w:type="dxa"/>
            <w:tcBorders>
              <w:top w:val="nil"/>
              <w:left w:val="nil"/>
              <w:bottom w:val="single" w:color="000000" w:sz="6" w:space="0"/>
              <w:right w:val="single" w:color="auto"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388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合计</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306.18</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183.61</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节能环保支出</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295.42</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环境保护管理事务</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行政运行</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2110103</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机关服务</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148.48</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148.48</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污染防治</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2110301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大气</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住房保障支出</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华文中宋" w:hAnsi="华文中宋" w:eastAsia="华文中宋" w:cs="华文中宋"/>
                <w:color w:val="000000"/>
                <w:sz w:val="24"/>
                <w:szCs w:val="24"/>
              </w:rPr>
              <w:t>10.76</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住房改革支出</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091" w:type="dxa"/>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2210201</w:t>
            </w:r>
          </w:p>
        </w:tc>
        <w:tc>
          <w:tcPr>
            <w:tcW w:w="279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住房公积金</w:t>
            </w:r>
          </w:p>
        </w:tc>
        <w:tc>
          <w:tcPr>
            <w:tcW w:w="15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416"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416"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公开04表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24"/>
        <w:gridCol w:w="588"/>
        <w:gridCol w:w="469"/>
        <w:gridCol w:w="1983"/>
        <w:gridCol w:w="1117"/>
        <w:gridCol w:w="881"/>
        <w:gridCol w:w="1590"/>
        <w:gridCol w:w="1354"/>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8306" w:type="dxa"/>
            <w:gridSpan w:val="8"/>
            <w:tcBorders>
              <w:top w:val="single" w:color="DDDDDD" w:sz="6" w:space="0"/>
              <w:left w:val="single" w:color="DDDDDD" w:sz="6" w:space="0"/>
              <w:bottom w:val="single" w:color="DDDDDD" w:sz="6" w:space="0"/>
              <w:right w:val="single" w:color="DDDDDD" w:sz="6" w:space="0"/>
            </w:tcBorders>
            <w:noWrap w:val="0"/>
            <w:tcMar>
              <w:top w:w="15" w:type="dxa"/>
              <w:left w:w="15" w:type="dxa"/>
              <w:bottom w:w="15" w:type="dxa"/>
              <w:right w:w="1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bottom"/>
            </w:pPr>
            <w:r>
              <w:rPr>
                <w:rFonts w:hint="eastAsia" w:ascii="黑体" w:hAnsi="宋体" w:eastAsia="黑体" w:cs="黑体"/>
                <w:color w:val="000000"/>
                <w:sz w:val="24"/>
                <w:szCs w:val="24"/>
              </w:rPr>
              <w:t>2018年度公共预算财政拨款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bottom"/>
            </w:pPr>
            <w:r>
              <w:rPr>
                <w:rFonts w:hint="eastAsia" w:ascii="黑体" w:hAnsi="宋体" w:eastAsia="黑体" w:cs="黑体"/>
                <w:color w:val="000000"/>
                <w:sz w:val="24"/>
                <w:szCs w:val="24"/>
              </w:rPr>
              <w:t>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bottom"/>
            </w:pPr>
            <w:r>
              <w:rPr>
                <w:rFonts w:hint="eastAsia" w:ascii="黑体" w:hAnsi="宋体" w:eastAsia="黑体" w:cs="黑体"/>
                <w:color w:val="000000"/>
                <w:sz w:val="24"/>
                <w:szCs w:val="24"/>
              </w:rPr>
              <w:t> </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364" w:type="dxa"/>
            <w:gridSpan w:val="4"/>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项目</w:t>
            </w:r>
          </w:p>
        </w:tc>
        <w:tc>
          <w:tcPr>
            <w:tcW w:w="1117" w:type="dxa"/>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本年收入</w:t>
            </w:r>
          </w:p>
        </w:tc>
        <w:tc>
          <w:tcPr>
            <w:tcW w:w="3825" w:type="dxa"/>
            <w:gridSpan w:val="3"/>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本年支出</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381" w:type="dxa"/>
            <w:gridSpan w:val="3"/>
            <w:vMerge w:val="restart"/>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支出功能分类科目编码</w:t>
            </w:r>
          </w:p>
        </w:tc>
        <w:tc>
          <w:tcPr>
            <w:tcW w:w="1983"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科目名称</w:t>
            </w:r>
          </w:p>
        </w:tc>
        <w:tc>
          <w:tcPr>
            <w:tcW w:w="1117"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合计</w:t>
            </w:r>
          </w:p>
        </w:tc>
        <w:tc>
          <w:tcPr>
            <w:tcW w:w="881"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合计</w:t>
            </w:r>
          </w:p>
        </w:tc>
        <w:tc>
          <w:tcPr>
            <w:tcW w:w="1590" w:type="dxa"/>
            <w:vMerge w:val="restart"/>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基本支出</w:t>
            </w:r>
          </w:p>
        </w:tc>
        <w:tc>
          <w:tcPr>
            <w:tcW w:w="1354"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黑体" w:hAnsi="宋体" w:eastAsia="黑体" w:cs="黑体"/>
                <w:color w:val="00000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项目支出</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381" w:type="dxa"/>
            <w:gridSpan w:val="3"/>
            <w:vMerge w:val="continue"/>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983"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117"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881"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590" w:type="dxa"/>
            <w:vMerge w:val="continue"/>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rPr>
                <w:rFonts w:hint="eastAsia" w:ascii="宋体"/>
                <w:sz w:val="24"/>
                <w:szCs w:val="24"/>
              </w:rPr>
            </w:pPr>
          </w:p>
        </w:tc>
        <w:tc>
          <w:tcPr>
            <w:tcW w:w="1354"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81" w:type="dxa"/>
            <w:gridSpan w:val="3"/>
            <w:vMerge w:val="continue"/>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983"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117"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881"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590" w:type="dxa"/>
            <w:vMerge w:val="continue"/>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rPr>
                <w:rFonts w:hint="eastAsia" w:ascii="宋体"/>
                <w:sz w:val="24"/>
                <w:szCs w:val="24"/>
              </w:rPr>
            </w:pPr>
          </w:p>
        </w:tc>
        <w:tc>
          <w:tcPr>
            <w:tcW w:w="1354"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24" w:type="dxa"/>
            <w:vMerge w:val="restart"/>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类</w:t>
            </w:r>
          </w:p>
        </w:tc>
        <w:tc>
          <w:tcPr>
            <w:tcW w:w="588"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款</w:t>
            </w:r>
          </w:p>
        </w:tc>
        <w:tc>
          <w:tcPr>
            <w:tcW w:w="469"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项</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栏次</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5</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7</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8</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324" w:type="dxa"/>
            <w:vMerge w:val="continue"/>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588"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469"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合计</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345.62</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306.18</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183.61</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节能环保支出</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334.86</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295.42</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环境保护管理事务</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163.06</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172.85</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  行政运行</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24.37</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2110103</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  机关服务</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138.69</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148.48</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148.48</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污染防治</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2110301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大气</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171.80</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122.57</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住房保障支出</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华文中宋" w:hAnsi="华文中宋" w:eastAsia="华文中宋" w:cs="华文中宋"/>
                <w:color w:val="000000"/>
                <w:sz w:val="24"/>
                <w:szCs w:val="24"/>
              </w:rPr>
              <w:t>10.76</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住房改革支出</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381" w:type="dxa"/>
            <w:gridSpan w:val="3"/>
            <w:tcBorders>
              <w:top w:val="nil"/>
              <w:left w:val="single" w:color="000000" w:sz="12"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2210201</w:t>
            </w:r>
          </w:p>
        </w:tc>
        <w:tc>
          <w:tcPr>
            <w:tcW w:w="1983"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  住房公积金</w:t>
            </w:r>
          </w:p>
        </w:tc>
        <w:tc>
          <w:tcPr>
            <w:tcW w:w="1117"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881"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590" w:type="dxa"/>
            <w:tcBorders>
              <w:top w:val="nil"/>
              <w:left w:val="nil"/>
              <w:bottom w:val="single" w:color="000000" w:sz="6" w:space="0"/>
              <w:right w:val="single" w:color="auto"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354"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333333"/>
          <w:spacing w:val="0"/>
          <w:sz w:val="24"/>
          <w:szCs w:val="24"/>
          <w:shd w:val="clear" w:color="auto" w:fill="FFFFFF"/>
        </w:rPr>
        <w:t> </w:t>
      </w:r>
      <w:r>
        <w:rPr>
          <w:rFonts w:hint="eastAsia" w:ascii="微软雅黑" w:hAnsi="微软雅黑" w:eastAsia="微软雅黑" w:cs="微软雅黑"/>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公开05表</w:t>
      </w:r>
    </w:p>
    <w:tbl>
      <w:tblPr>
        <w:tblStyle w:val="4"/>
        <w:tblW w:w="15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81"/>
        <w:gridCol w:w="481"/>
        <w:gridCol w:w="481"/>
        <w:gridCol w:w="1059"/>
        <w:gridCol w:w="864"/>
        <w:gridCol w:w="864"/>
        <w:gridCol w:w="206"/>
        <w:gridCol w:w="661"/>
        <w:gridCol w:w="24"/>
        <w:gridCol w:w="991"/>
        <w:gridCol w:w="438"/>
        <w:gridCol w:w="553"/>
        <w:gridCol w:w="493"/>
        <w:gridCol w:w="300"/>
        <w:gridCol w:w="195"/>
        <w:gridCol w:w="178"/>
        <w:gridCol w:w="562"/>
        <w:gridCol w:w="255"/>
        <w:gridCol w:w="380"/>
        <w:gridCol w:w="669"/>
        <w:gridCol w:w="150"/>
        <w:gridCol w:w="1097"/>
        <w:gridCol w:w="1375"/>
        <w:gridCol w:w="991"/>
        <w:gridCol w:w="251"/>
        <w:gridCol w:w="300"/>
        <w:gridCol w:w="223"/>
        <w:gridCol w:w="991"/>
        <w:gridCol w:w="12"/>
        <w:gridCol w:w="3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4580" w:type="dxa"/>
            <w:gridSpan w:val="30"/>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b/>
                <w:bCs/>
                <w:color w:val="000000"/>
                <w:sz w:val="24"/>
                <w:szCs w:val="24"/>
              </w:rPr>
              <w:t>2018年度一般公共预算财政拨款收入支出决算表</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4580" w:type="dxa"/>
            <w:gridSpan w:val="30"/>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39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9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9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71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71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60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32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02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2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0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5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54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90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015" w:type="dxa"/>
            <w:gridSpan w:val="4"/>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2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215"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7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2895" w:type="dxa"/>
            <w:gridSpan w:val="4"/>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编制单位：</w:t>
            </w:r>
          </w:p>
        </w:tc>
        <w:tc>
          <w:tcPr>
            <w:tcW w:w="171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60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32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02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2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0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5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54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900" w:type="dxa"/>
            <w:gridSpan w:val="2"/>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3015" w:type="dxa"/>
            <w:gridSpan w:val="4"/>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24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215"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金额单位：万元</w:t>
            </w:r>
          </w:p>
        </w:tc>
        <w:tc>
          <w:tcPr>
            <w:tcW w:w="7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85" w:type="dxa"/>
            <w:gridSpan w:val="3"/>
            <w:vMerge w:val="restart"/>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科目编码</w:t>
            </w:r>
          </w:p>
        </w:tc>
        <w:tc>
          <w:tcPr>
            <w:tcW w:w="1710" w:type="dxa"/>
            <w:vMerge w:val="restart"/>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科目名称</w:t>
            </w:r>
          </w:p>
        </w:tc>
        <w:tc>
          <w:tcPr>
            <w:tcW w:w="2340" w:type="dxa"/>
            <w:gridSpan w:val="5"/>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年初结转和结余</w:t>
            </w:r>
          </w:p>
        </w:tc>
        <w:tc>
          <w:tcPr>
            <w:tcW w:w="2700" w:type="dxa"/>
            <w:gridSpan w:val="6"/>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本年收入</w:t>
            </w:r>
          </w:p>
        </w:tc>
        <w:tc>
          <w:tcPr>
            <w:tcW w:w="3960" w:type="dxa"/>
            <w:gridSpan w:val="8"/>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本年支出</w:t>
            </w:r>
          </w:p>
        </w:tc>
        <w:tc>
          <w:tcPr>
            <w:tcW w:w="2610" w:type="dxa"/>
            <w:gridSpan w:val="5"/>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年末结转和结余</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71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2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72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900" w:type="dxa"/>
            <w:gridSpan w:val="3"/>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90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900" w:type="dxa"/>
            <w:gridSpan w:val="2"/>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支出</w:t>
            </w:r>
          </w:p>
        </w:tc>
        <w:tc>
          <w:tcPr>
            <w:tcW w:w="900" w:type="dxa"/>
            <w:gridSpan w:val="3"/>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支出</w:t>
            </w:r>
          </w:p>
        </w:tc>
        <w:tc>
          <w:tcPr>
            <w:tcW w:w="900" w:type="dxa"/>
            <w:gridSpan w:val="3"/>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1110" w:type="dxa"/>
            <w:gridSpan w:val="2"/>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经费</w:t>
            </w:r>
          </w:p>
        </w:tc>
        <w:tc>
          <w:tcPr>
            <w:tcW w:w="1050" w:type="dxa"/>
            <w:gridSpan w:val="2"/>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日常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公用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经费</w:t>
            </w:r>
          </w:p>
        </w:tc>
        <w:tc>
          <w:tcPr>
            <w:tcW w:w="90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 </w:t>
            </w:r>
          </w:p>
        </w:tc>
        <w:tc>
          <w:tcPr>
            <w:tcW w:w="90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810" w:type="dxa"/>
            <w:gridSpan w:val="3"/>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90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18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71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11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5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81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18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71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2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11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50" w:type="dxa"/>
            <w:gridSpan w:val="2"/>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810" w:type="dxa"/>
            <w:gridSpan w:val="3"/>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90" w:type="dxa"/>
            <w:vMerge w:val="restart"/>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类</w:t>
            </w:r>
          </w:p>
        </w:tc>
        <w:tc>
          <w:tcPr>
            <w:tcW w:w="39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款</w:t>
            </w:r>
          </w:p>
        </w:tc>
        <w:tc>
          <w:tcPr>
            <w:tcW w:w="39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w:t>
            </w:r>
          </w:p>
        </w:tc>
        <w:tc>
          <w:tcPr>
            <w:tcW w:w="171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栏次</w:t>
            </w:r>
          </w:p>
        </w:tc>
        <w:tc>
          <w:tcPr>
            <w:tcW w:w="72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w:t>
            </w:r>
          </w:p>
        </w:tc>
        <w:tc>
          <w:tcPr>
            <w:tcW w:w="72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w:t>
            </w:r>
          </w:p>
        </w:tc>
        <w:tc>
          <w:tcPr>
            <w:tcW w:w="900" w:type="dxa"/>
            <w:gridSpan w:val="3"/>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w:t>
            </w:r>
          </w:p>
        </w:tc>
        <w:tc>
          <w:tcPr>
            <w:tcW w:w="90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4</w:t>
            </w:r>
          </w:p>
        </w:tc>
        <w:tc>
          <w:tcPr>
            <w:tcW w:w="900" w:type="dxa"/>
            <w:gridSpan w:val="2"/>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w:t>
            </w:r>
          </w:p>
        </w:tc>
        <w:tc>
          <w:tcPr>
            <w:tcW w:w="900" w:type="dxa"/>
            <w:gridSpan w:val="3"/>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w:t>
            </w:r>
          </w:p>
        </w:tc>
        <w:tc>
          <w:tcPr>
            <w:tcW w:w="900" w:type="dxa"/>
            <w:gridSpan w:val="3"/>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7</w:t>
            </w:r>
          </w:p>
        </w:tc>
        <w:tc>
          <w:tcPr>
            <w:tcW w:w="1110" w:type="dxa"/>
            <w:gridSpan w:val="2"/>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8</w:t>
            </w:r>
          </w:p>
        </w:tc>
        <w:tc>
          <w:tcPr>
            <w:tcW w:w="1050" w:type="dxa"/>
            <w:gridSpan w:val="2"/>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9</w:t>
            </w:r>
          </w:p>
        </w:tc>
        <w:tc>
          <w:tcPr>
            <w:tcW w:w="90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10</w:t>
            </w:r>
          </w:p>
        </w:tc>
        <w:tc>
          <w:tcPr>
            <w:tcW w:w="810" w:type="dxa"/>
            <w:gridSpan w:val="3"/>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11</w:t>
            </w:r>
          </w:p>
        </w:tc>
        <w:tc>
          <w:tcPr>
            <w:tcW w:w="90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12</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390" w:type="dxa"/>
            <w:vMerge w:val="continue"/>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39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39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71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68.18　</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56.50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345.62　</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173.82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306.18　</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162.51　</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21.10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122.57</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107.63　</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105.73　</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节能环保支出</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68.18　</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56.50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334.86</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163.06</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295.42</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151.75</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21.10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122.57</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107.63　</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105.73　</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21101</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环境保护管理事务</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163.06</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163.06</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172.85</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151.75</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21.10</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2110101</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240"/>
              <w:jc w:val="left"/>
            </w:pPr>
            <w:r>
              <w:rPr>
                <w:rFonts w:hint="eastAsia" w:ascii="宋体" w:hAnsi="宋体" w:eastAsia="宋体" w:cs="宋体"/>
                <w:color w:val="000000"/>
                <w:sz w:val="24"/>
                <w:szCs w:val="24"/>
              </w:rPr>
              <w:t>行政运行</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24.37</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24.37</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24.37</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22.28</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2.09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2110103</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机关服务</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11.68　</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138.69</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138.69</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148.48</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129.47</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360"/>
            </w:pPr>
            <w:r>
              <w:rPr>
                <w:rFonts w:hint="eastAsia" w:ascii="宋体" w:hAnsi="宋体" w:eastAsia="宋体" w:cs="宋体"/>
                <w:color w:val="000000"/>
                <w:sz w:val="24"/>
                <w:szCs w:val="24"/>
              </w:rPr>
              <w:t>19.01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1.90　</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21103</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污染防治</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56.50</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56.50</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122.57</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122.57</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105.73</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105.73</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2110301</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大气</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50.00</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50.00</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171.80</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122.57</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122.57</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99.23</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99.23</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2110399</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其他污染防治支出</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6.50</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6.50</w:t>
            </w: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6.50</w:t>
            </w: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6.50</w:t>
            </w: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221</w:t>
            </w:r>
          </w:p>
        </w:tc>
        <w:tc>
          <w:tcPr>
            <w:tcW w:w="171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住房保障支出</w:t>
            </w: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2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110" w:type="dxa"/>
            <w:gridSpan w:val="2"/>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050" w:type="dxa"/>
            <w:gridSpan w:val="2"/>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gridSpan w:val="3"/>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22102</w:t>
            </w:r>
          </w:p>
        </w:tc>
        <w:tc>
          <w:tcPr>
            <w:tcW w:w="1710" w:type="dxa"/>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住房改革支出</w:t>
            </w:r>
          </w:p>
        </w:tc>
        <w:tc>
          <w:tcPr>
            <w:tcW w:w="72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2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2"/>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3"/>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110" w:type="dxa"/>
            <w:gridSpan w:val="2"/>
            <w:tcBorders>
              <w:top w:val="nil"/>
              <w:left w:val="nil"/>
              <w:bottom w:val="nil"/>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050" w:type="dxa"/>
            <w:gridSpan w:val="2"/>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gridSpan w:val="3"/>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185" w:type="dxa"/>
            <w:gridSpan w:val="3"/>
            <w:tcBorders>
              <w:top w:val="nil"/>
              <w:left w:val="single" w:color="auto" w:sz="6" w:space="0"/>
              <w:bottom w:val="single" w:color="auto" w:sz="6" w:space="0"/>
              <w:right w:val="single" w:color="000000"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2210201</w:t>
            </w:r>
          </w:p>
        </w:tc>
        <w:tc>
          <w:tcPr>
            <w:tcW w:w="171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 住房公积金</w:t>
            </w:r>
          </w:p>
        </w:tc>
        <w:tc>
          <w:tcPr>
            <w:tcW w:w="72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2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900"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11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10.76</w:t>
            </w:r>
          </w:p>
        </w:tc>
        <w:tc>
          <w:tcPr>
            <w:tcW w:w="1050" w:type="dxa"/>
            <w:gridSpan w:val="2"/>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10" w:type="dxa"/>
            <w:gridSpan w:val="3"/>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0"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4580" w:type="dxa"/>
            <w:gridSpan w:val="30"/>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注：本表反映部门本年度一般公共预算财政拨款收入支出及结转和结余情况。</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5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213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02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02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4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75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1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49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7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6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9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9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28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40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5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32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62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1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4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0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7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117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30"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7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黑体" w:hAnsi="宋体" w:eastAsia="黑体" w:cs="黑体"/>
          <w:i w:val="0"/>
          <w:iCs w:val="0"/>
          <w:caps w:val="0"/>
          <w:color w:val="333333"/>
          <w:spacing w:val="0"/>
          <w:sz w:val="24"/>
          <w:szCs w:val="24"/>
          <w:shd w:val="clear" w:color="auto" w:fill="FFFFFF"/>
        </w:rPr>
        <w:br w:type="textWrapping"/>
      </w:r>
      <w:r>
        <w:rPr>
          <w:rFonts w:hint="eastAsia" w:ascii="微软雅黑" w:hAnsi="微软雅黑" w:eastAsia="微软雅黑" w:cs="微软雅黑"/>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公开06表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5"/>
        <w:gridCol w:w="803"/>
        <w:gridCol w:w="2034"/>
        <w:gridCol w:w="1565"/>
        <w:gridCol w:w="1652"/>
        <w:gridCol w:w="1698"/>
        <w:gridCol w:w="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9375" w:type="dxa"/>
            <w:gridSpan w:val="6"/>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2018年度一般公共预算财政拨款基本支出决算表</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5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40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74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55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部门：</w:t>
            </w:r>
          </w:p>
        </w:tc>
        <w:tc>
          <w:tcPr>
            <w:tcW w:w="960" w:type="dxa"/>
            <w:tcBorders>
              <w:top w:val="single" w:color="DDDDDD" w:sz="6" w:space="0"/>
              <w:left w:val="single" w:color="DDDDDD" w:sz="6" w:space="0"/>
              <w:bottom w:val="single" w:color="DDDDDD" w:sz="6" w:space="0"/>
              <w:right w:val="single" w:color="DDDDDD" w:sz="6" w:space="0"/>
            </w:tcBorders>
            <w:shd w:val="clear" w:color="auto" w:fill="auto"/>
            <w:noWrap w:val="0"/>
            <w:tcMar>
              <w:top w:w="15" w:type="dxa"/>
              <w:left w:w="15" w:type="dxa"/>
              <w:bottom w:w="15" w:type="dxa"/>
              <w:right w:w="15" w:type="dxa"/>
            </w:tcMar>
            <w:vAlign w:val="bottom"/>
          </w:tcPr>
          <w:p>
            <w:pPr>
              <w:keepNext w:val="0"/>
              <w:keepLines w:val="0"/>
              <w:widowControl/>
              <w:suppressLineNumbers w:val="0"/>
              <w:spacing w:before="0" w:beforeAutospacing="0" w:after="0" w:afterAutospacing="0"/>
              <w:ind w:left="0" w:right="0"/>
              <w:jc w:val="left"/>
            </w:pPr>
          </w:p>
        </w:tc>
        <w:tc>
          <w:tcPr>
            <w:tcW w:w="240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南芬区环境保护局</w:t>
            </w:r>
          </w:p>
        </w:tc>
        <w:tc>
          <w:tcPr>
            <w:tcW w:w="174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textAlignment w:val="center"/>
            </w:pPr>
            <w:r>
              <w:rPr>
                <w:rFonts w:hint="eastAsia" w:ascii="宋体" w:hAnsi="宋体" w:eastAsia="宋体" w:cs="宋体"/>
                <w:color w:val="000000"/>
                <w:sz w:val="24"/>
                <w:szCs w:val="24"/>
              </w:rPr>
              <w:t>单位：万元</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3915" w:type="dxa"/>
            <w:gridSpan w:val="3"/>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 </w:t>
            </w:r>
            <w:r>
              <w:rPr>
                <w:sz w:val="24"/>
                <w:szCs w:val="24"/>
              </w:rPr>
              <w:t>   </w:t>
            </w:r>
            <w:r>
              <w:rPr>
                <w:rFonts w:hint="eastAsia" w:ascii="黑体" w:hAnsi="宋体" w:eastAsia="黑体" w:cs="黑体"/>
                <w:color w:val="000000"/>
                <w:sz w:val="24"/>
                <w:szCs w:val="24"/>
              </w:rPr>
              <w:t>目</w:t>
            </w:r>
          </w:p>
        </w:tc>
        <w:tc>
          <w:tcPr>
            <w:tcW w:w="1740" w:type="dxa"/>
            <w:vMerge w:val="restart"/>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本年支出合计</w:t>
            </w:r>
          </w:p>
        </w:tc>
        <w:tc>
          <w:tcPr>
            <w:tcW w:w="1845" w:type="dxa"/>
            <w:vMerge w:val="restart"/>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人员经费</w:t>
            </w:r>
          </w:p>
        </w:tc>
        <w:tc>
          <w:tcPr>
            <w:tcW w:w="1875" w:type="dxa"/>
            <w:vMerge w:val="restart"/>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公用经费</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1515" w:type="dxa"/>
            <w:gridSpan w:val="2"/>
            <w:vMerge w:val="restart"/>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经济分类科目编码</w:t>
            </w:r>
          </w:p>
        </w:tc>
        <w:tc>
          <w:tcPr>
            <w:tcW w:w="2400" w:type="dxa"/>
            <w:vMerge w:val="restart"/>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科目名称</w:t>
            </w:r>
          </w:p>
        </w:tc>
        <w:tc>
          <w:tcPr>
            <w:tcW w:w="1740"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4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7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515" w:type="dxa"/>
            <w:gridSpan w:val="2"/>
            <w:vMerge w:val="continue"/>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2400"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740"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4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7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515" w:type="dxa"/>
            <w:gridSpan w:val="2"/>
            <w:vMerge w:val="continue"/>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2400" w:type="dxa"/>
            <w:vMerge w:val="continue"/>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740"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4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1875" w:type="dxa"/>
            <w:vMerge w:val="continue"/>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3915" w:type="dxa"/>
            <w:gridSpan w:val="3"/>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栏次</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w:t>
            </w: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3</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915" w:type="dxa"/>
            <w:gridSpan w:val="3"/>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合计</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183.61</w:t>
            </w: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155.83</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240"/>
              <w:jc w:val="center"/>
              <w:textAlignment w:val="center"/>
            </w:pPr>
            <w:r>
              <w:rPr>
                <w:rFonts w:hint="eastAsia" w:ascii="宋体" w:hAnsi="宋体" w:eastAsia="宋体" w:cs="宋体"/>
                <w:color w:val="000000"/>
                <w:sz w:val="24"/>
                <w:szCs w:val="24"/>
              </w:rPr>
              <w:t>27.78</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30101</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基本工资</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61.19</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30102</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津贴补贴</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42.35</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30103</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奖金</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7.88</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30104</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其他社会保障缴费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29.05</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30105</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伙食补助费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4.60</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30201</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办公费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8.39</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30207</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邮电费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0.33</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30208</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取暖费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30211</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差旅费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1.91</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30217</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公务接待费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30218</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专用材料费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30226</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劳务费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2.05</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30227</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委托业务费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0.38</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30231</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公务用车运行维护费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5.95</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30239</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其他交通费用</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2.09</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30302</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退休费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30307</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医疗费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30309</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奖励费</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30311</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住房公积金</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10.76</w:t>
            </w: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1515" w:type="dxa"/>
            <w:gridSpan w:val="2"/>
            <w:tcBorders>
              <w:top w:val="nil"/>
              <w:left w:val="single" w:color="000000" w:sz="6" w:space="0"/>
              <w:bottom w:val="single" w:color="000000" w:sz="6" w:space="0"/>
              <w:right w:val="single" w:color="000000"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30399</w:t>
            </w:r>
          </w:p>
        </w:tc>
        <w:tc>
          <w:tcPr>
            <w:tcW w:w="240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其他对个人和家庭补助</w:t>
            </w:r>
          </w:p>
        </w:tc>
        <w:tc>
          <w:tcPr>
            <w:tcW w:w="174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4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6.68</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公开07表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67"/>
        <w:gridCol w:w="469"/>
        <w:gridCol w:w="469"/>
        <w:gridCol w:w="478"/>
        <w:gridCol w:w="469"/>
        <w:gridCol w:w="545"/>
        <w:gridCol w:w="509"/>
        <w:gridCol w:w="500"/>
        <w:gridCol w:w="538"/>
        <w:gridCol w:w="533"/>
        <w:gridCol w:w="533"/>
        <w:gridCol w:w="502"/>
        <w:gridCol w:w="533"/>
        <w:gridCol w:w="471"/>
        <w:gridCol w:w="502"/>
        <w:gridCol w:w="878"/>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440" w:type="dxa"/>
            <w:gridSpan w:val="1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附件1-7</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13440" w:type="dxa"/>
            <w:gridSpan w:val="1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b/>
                <w:bCs/>
                <w:color w:val="000000"/>
                <w:sz w:val="24"/>
                <w:szCs w:val="24"/>
              </w:rPr>
              <w:t>2018年度政府性基金预算财政拨款收入支出决算表</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3440" w:type="dxa"/>
            <w:gridSpan w:val="1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公开07表</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1565" w:type="dxa"/>
            <w:gridSpan w:val="15"/>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编制单位：</w:t>
            </w:r>
          </w:p>
        </w:tc>
        <w:tc>
          <w:tcPr>
            <w:tcW w:w="1875"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金额单位：万元</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695" w:type="dxa"/>
            <w:gridSpan w:val="3"/>
            <w:vMerge w:val="restart"/>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科目编码</w:t>
            </w:r>
          </w:p>
        </w:tc>
        <w:tc>
          <w:tcPr>
            <w:tcW w:w="630" w:type="dxa"/>
            <w:vMerge w:val="restart"/>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科目名称</w:t>
            </w:r>
          </w:p>
        </w:tc>
        <w:tc>
          <w:tcPr>
            <w:tcW w:w="2430"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年初结转和结余</w:t>
            </w:r>
          </w:p>
        </w:tc>
        <w:tc>
          <w:tcPr>
            <w:tcW w:w="2745"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本年收入</w:t>
            </w:r>
          </w:p>
        </w:tc>
        <w:tc>
          <w:tcPr>
            <w:tcW w:w="2715"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本年支出</w:t>
            </w:r>
          </w:p>
        </w:tc>
        <w:tc>
          <w:tcPr>
            <w:tcW w:w="3240"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年末结转和结余</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9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3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7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105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82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76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100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w:t>
            </w:r>
          </w:p>
        </w:tc>
        <w:tc>
          <w:tcPr>
            <w:tcW w:w="97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w:t>
            </w:r>
          </w:p>
        </w:tc>
        <w:tc>
          <w:tcPr>
            <w:tcW w:w="97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78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w:t>
            </w:r>
          </w:p>
        </w:tc>
        <w:tc>
          <w:tcPr>
            <w:tcW w:w="97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w:t>
            </w:r>
          </w:p>
        </w:tc>
        <w:tc>
          <w:tcPr>
            <w:tcW w:w="58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78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187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69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3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5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6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0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8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8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695" w:type="dxa"/>
            <w:gridSpan w:val="3"/>
            <w:vMerge w:val="continue"/>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30" w:type="dxa"/>
            <w:vMerge w:val="continue"/>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5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82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6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00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9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8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8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87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555" w:type="dxa"/>
            <w:vMerge w:val="restart"/>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类</w:t>
            </w:r>
          </w:p>
        </w:tc>
        <w:tc>
          <w:tcPr>
            <w:tcW w:w="57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款</w:t>
            </w:r>
          </w:p>
        </w:tc>
        <w:tc>
          <w:tcPr>
            <w:tcW w:w="57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w:t>
            </w:r>
          </w:p>
        </w:tc>
        <w:tc>
          <w:tcPr>
            <w:tcW w:w="63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栏次</w:t>
            </w:r>
          </w:p>
        </w:tc>
        <w:tc>
          <w:tcPr>
            <w:tcW w:w="57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w:t>
            </w:r>
          </w:p>
        </w:tc>
        <w:tc>
          <w:tcPr>
            <w:tcW w:w="105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w:t>
            </w:r>
          </w:p>
        </w:tc>
        <w:tc>
          <w:tcPr>
            <w:tcW w:w="82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w:t>
            </w:r>
          </w:p>
        </w:tc>
        <w:tc>
          <w:tcPr>
            <w:tcW w:w="76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4</w:t>
            </w:r>
          </w:p>
        </w:tc>
        <w:tc>
          <w:tcPr>
            <w:tcW w:w="100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w:t>
            </w:r>
          </w:p>
        </w:tc>
        <w:tc>
          <w:tcPr>
            <w:tcW w:w="97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w:t>
            </w:r>
          </w:p>
        </w:tc>
        <w:tc>
          <w:tcPr>
            <w:tcW w:w="97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7</w:t>
            </w:r>
          </w:p>
        </w:tc>
        <w:tc>
          <w:tcPr>
            <w:tcW w:w="78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8</w:t>
            </w:r>
          </w:p>
        </w:tc>
        <w:tc>
          <w:tcPr>
            <w:tcW w:w="97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9</w:t>
            </w:r>
          </w:p>
        </w:tc>
        <w:tc>
          <w:tcPr>
            <w:tcW w:w="58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10</w:t>
            </w:r>
          </w:p>
        </w:tc>
        <w:tc>
          <w:tcPr>
            <w:tcW w:w="78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11</w:t>
            </w:r>
          </w:p>
        </w:tc>
        <w:tc>
          <w:tcPr>
            <w:tcW w:w="187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12</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555" w:type="dxa"/>
            <w:vMerge w:val="continue"/>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57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63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57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105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82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76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100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78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97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58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78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1875"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nil"/>
              <w:left w:val="single" w:color="auto" w:sz="6" w:space="0"/>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695"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7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5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6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0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7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8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8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87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3440" w:type="dxa"/>
            <w:gridSpan w:val="16"/>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注：本表反映部门本年度政府性基金预算财政拨款收入支出及结转和结余情况。</w:t>
            </w:r>
          </w:p>
        </w:tc>
        <w:tc>
          <w:tcPr>
            <w:tcW w:w="6"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333333"/>
          <w:spacing w:val="0"/>
          <w:sz w:val="24"/>
          <w:szCs w:val="24"/>
          <w:shd w:val="clear" w:color="auto" w:fill="FFFFFF"/>
        </w:rPr>
        <w:t> </w:t>
      </w:r>
      <w:r>
        <w:rPr>
          <w:rFonts w:hint="eastAsia" w:ascii="微软雅黑" w:hAnsi="微软雅黑" w:eastAsia="微软雅黑" w:cs="微软雅黑"/>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公开08表</w:t>
      </w:r>
      <w:r>
        <w:rPr>
          <w:rFonts w:hint="eastAsia" w:ascii="黑体" w:hAnsi="宋体" w:eastAsia="黑体" w:cs="黑体"/>
          <w:i w:val="0"/>
          <w:iCs w:val="0"/>
          <w:caps w:val="0"/>
          <w:color w:val="333333"/>
          <w:spacing w:val="0"/>
          <w:sz w:val="24"/>
          <w:szCs w:val="24"/>
          <w:shd w:val="clear" w:color="auto" w:fill="FFFFFF"/>
        </w:rPr>
        <w:t> </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0"/>
        <w:gridCol w:w="450"/>
        <w:gridCol w:w="450"/>
        <w:gridCol w:w="455"/>
        <w:gridCol w:w="453"/>
        <w:gridCol w:w="454"/>
        <w:gridCol w:w="453"/>
        <w:gridCol w:w="453"/>
        <w:gridCol w:w="453"/>
        <w:gridCol w:w="453"/>
        <w:gridCol w:w="453"/>
        <w:gridCol w:w="453"/>
        <w:gridCol w:w="453"/>
        <w:gridCol w:w="453"/>
        <w:gridCol w:w="454"/>
        <w:gridCol w:w="453"/>
        <w:gridCol w:w="453"/>
        <w:gridCol w:w="70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135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附件1-8</w:t>
            </w:r>
          </w:p>
        </w:tc>
        <w:tc>
          <w:tcPr>
            <w:tcW w:w="7046" w:type="dxa"/>
            <w:gridSpan w:val="15"/>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8396" w:type="dxa"/>
            <w:gridSpan w:val="18"/>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b/>
                <w:bCs/>
                <w:color w:val="000000"/>
                <w:sz w:val="24"/>
                <w:szCs w:val="24"/>
              </w:rPr>
              <w:t>2018年度财政专户管理资金收入支出决算表</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350" w:type="dxa"/>
            <w:gridSpan w:val="3"/>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编制单位：</w:t>
            </w:r>
          </w:p>
        </w:tc>
        <w:tc>
          <w:tcPr>
            <w:tcW w:w="5893" w:type="dxa"/>
            <w:gridSpan w:val="13"/>
            <w:tcBorders>
              <w:top w:val="nil"/>
              <w:left w:val="nil"/>
              <w:bottom w:val="single" w:color="auto" w:sz="6" w:space="0"/>
              <w:right w:val="nil"/>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453"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keepNext w:val="0"/>
              <w:keepLines w:val="0"/>
              <w:widowControl/>
              <w:suppressLineNumbers w:val="0"/>
              <w:spacing w:before="0" w:beforeAutospacing="0" w:after="0" w:afterAutospacing="0"/>
              <w:ind w:left="0" w:right="0"/>
              <w:jc w:val="left"/>
            </w:pPr>
          </w:p>
        </w:tc>
        <w:tc>
          <w:tcPr>
            <w:tcW w:w="700" w:type="dxa"/>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金额单位：万元</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805" w:type="dxa"/>
            <w:gridSpan w:val="4"/>
            <w:tcBorders>
              <w:top w:val="single" w:color="auto" w:sz="6" w:space="0"/>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w:t>
            </w:r>
          </w:p>
        </w:tc>
        <w:tc>
          <w:tcPr>
            <w:tcW w:w="1360"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年初结转和结余</w:t>
            </w:r>
          </w:p>
        </w:tc>
        <w:tc>
          <w:tcPr>
            <w:tcW w:w="1359"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本年收入</w:t>
            </w:r>
          </w:p>
        </w:tc>
        <w:tc>
          <w:tcPr>
            <w:tcW w:w="1359"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本年支出</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用事业基金弥补收支差额</w:t>
            </w:r>
          </w:p>
        </w:tc>
        <w:tc>
          <w:tcPr>
            <w:tcW w:w="454"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结余分配</w:t>
            </w:r>
          </w:p>
        </w:tc>
        <w:tc>
          <w:tcPr>
            <w:tcW w:w="1606" w:type="dxa"/>
            <w:gridSpan w:val="3"/>
            <w:tcBorders>
              <w:top w:val="single" w:color="auto" w:sz="6" w:space="0"/>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年末结转和结余</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50" w:type="dxa"/>
            <w:gridSpan w:val="3"/>
            <w:vMerge w:val="restart"/>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支出功能分类科目编码</w:t>
            </w:r>
          </w:p>
        </w:tc>
        <w:tc>
          <w:tcPr>
            <w:tcW w:w="455"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科目名称</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454"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w:t>
            </w: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4"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453"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基本支出结转</w:t>
            </w:r>
          </w:p>
        </w:tc>
        <w:tc>
          <w:tcPr>
            <w:tcW w:w="70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项目支出结转和结余</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350" w:type="dxa"/>
            <w:gridSpan w:val="3"/>
            <w:vMerge w:val="continue"/>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4"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4"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350" w:type="dxa"/>
            <w:gridSpan w:val="3"/>
            <w:vMerge w:val="continue"/>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5"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4"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4"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3"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70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450" w:type="dxa"/>
            <w:vMerge w:val="restart"/>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类</w:t>
            </w:r>
          </w:p>
        </w:tc>
        <w:tc>
          <w:tcPr>
            <w:tcW w:w="45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款</w:t>
            </w:r>
          </w:p>
        </w:tc>
        <w:tc>
          <w:tcPr>
            <w:tcW w:w="450" w:type="dxa"/>
            <w:vMerge w:val="restart"/>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项</w:t>
            </w:r>
          </w:p>
        </w:tc>
        <w:tc>
          <w:tcPr>
            <w:tcW w:w="45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栏次</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w:t>
            </w:r>
          </w:p>
        </w:tc>
        <w:tc>
          <w:tcPr>
            <w:tcW w:w="454"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2</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3</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4</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5</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6</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7</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8</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9</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10</w:t>
            </w:r>
          </w:p>
        </w:tc>
        <w:tc>
          <w:tcPr>
            <w:tcW w:w="454"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11</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12</w:t>
            </w:r>
          </w:p>
        </w:tc>
        <w:tc>
          <w:tcPr>
            <w:tcW w:w="453"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13</w:t>
            </w:r>
          </w:p>
        </w:tc>
        <w:tc>
          <w:tcPr>
            <w:tcW w:w="700"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14</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450" w:type="dxa"/>
            <w:vMerge w:val="continue"/>
            <w:tcBorders>
              <w:top w:val="nil"/>
              <w:left w:val="single" w:color="auto" w:sz="6" w:space="0"/>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0" w:type="dxa"/>
            <w:vMerge w:val="continue"/>
            <w:tcBorders>
              <w:top w:val="nil"/>
              <w:left w:val="nil"/>
              <w:bottom w:val="single" w:color="auto" w:sz="6" w:space="0"/>
              <w:right w:val="single" w:color="auto" w:sz="6" w:space="0"/>
            </w:tcBorders>
            <w:shd w:val="clear" w:color="auto" w:fill="C0C0C0"/>
            <w:noWrap w:val="0"/>
            <w:tcMar>
              <w:left w:w="105" w:type="dxa"/>
              <w:right w:w="105" w:type="dxa"/>
            </w:tcMar>
            <w:vAlign w:val="center"/>
          </w:tcPr>
          <w:p>
            <w:pPr>
              <w:rPr>
                <w:rFonts w:hint="eastAsia" w:ascii="宋体"/>
                <w:sz w:val="24"/>
                <w:szCs w:val="24"/>
              </w:rPr>
            </w:pPr>
          </w:p>
        </w:tc>
        <w:tc>
          <w:tcPr>
            <w:tcW w:w="455" w:type="dxa"/>
            <w:tcBorders>
              <w:top w:val="nil"/>
              <w:left w:val="nil"/>
              <w:bottom w:val="single" w:color="auto" w:sz="6" w:space="0"/>
              <w:right w:val="single" w:color="auto" w:sz="6" w:space="0"/>
            </w:tcBorders>
            <w:shd w:val="clear" w:color="auto" w:fill="C0C0C0"/>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color w:val="000000"/>
                <w:sz w:val="24"/>
                <w:szCs w:val="24"/>
              </w:rPr>
              <w:t>合计</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4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70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color w:val="000000"/>
                <w:sz w:val="24"/>
                <w:szCs w:val="24"/>
              </w:rPr>
              <w:t>0　</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nil"/>
              <w:left w:val="single" w:color="auto" w:sz="6" w:space="0"/>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nil"/>
              <w:left w:val="nil"/>
              <w:bottom w:val="nil"/>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single" w:color="auto" w:sz="6" w:space="0"/>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350" w:type="dxa"/>
            <w:gridSpan w:val="3"/>
            <w:tcBorders>
              <w:top w:val="nil"/>
              <w:left w:val="single" w:color="auto" w:sz="6" w:space="0"/>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5"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4"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453"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00" w:type="dxa"/>
            <w:tcBorders>
              <w:top w:val="nil"/>
              <w:left w:val="nil"/>
              <w:bottom w:val="single" w:color="auto" w:sz="6" w:space="0"/>
              <w:right w:val="single" w:color="auto" w:sz="6" w:space="0"/>
            </w:tcBorders>
            <w:noWrap w:val="0"/>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8396" w:type="dxa"/>
            <w:gridSpan w:val="18"/>
            <w:tcBorders>
              <w:top w:val="single" w:color="DDDDDD" w:sz="6" w:space="0"/>
              <w:left w:val="single" w:color="DDDDDD" w:sz="6" w:space="0"/>
              <w:bottom w:val="single" w:color="DDDDDD" w:sz="6" w:space="0"/>
              <w:right w:val="single" w:color="DDDDDD"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pPr>
            <w:r>
              <w:rPr>
                <w:rFonts w:hint="eastAsia" w:ascii="宋体" w:hAnsi="宋体" w:eastAsia="宋体" w:cs="宋体"/>
                <w:color w:val="000000"/>
                <w:sz w:val="24"/>
                <w:szCs w:val="24"/>
              </w:rPr>
              <w:t>注：本表反映部门本年度专户管理资金收入支出及结转和结余情况。</w:t>
            </w:r>
          </w:p>
        </w:tc>
        <w:tc>
          <w:tcPr>
            <w:tcW w:w="15"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i w:val="0"/>
          <w:iCs w:val="0"/>
          <w:caps w:val="0"/>
          <w:color w:val="000000"/>
          <w:spacing w:val="0"/>
          <w:sz w:val="24"/>
          <w:szCs w:val="24"/>
          <w:shd w:val="clear" w:color="auto" w:fill="FFFFFF"/>
        </w:rPr>
        <w:t>公开09表</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85"/>
        <w:gridCol w:w="1890"/>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7860" w:type="dxa"/>
            <w:gridSpan w:val="3"/>
            <w:tcBorders>
              <w:top w:val="single" w:color="DDDDDD" w:sz="6" w:space="0"/>
              <w:left w:val="single" w:color="DDDDDD" w:sz="6" w:space="0"/>
              <w:bottom w:val="single" w:color="DDDDDD" w:sz="6" w:space="0"/>
              <w:right w:val="single" w:color="DDDDDD"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2018年度一般公共预算财政拨款“三公”经费支出决算表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358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部门名称：南芬区环境保护局</w:t>
            </w:r>
          </w:p>
        </w:tc>
        <w:tc>
          <w:tcPr>
            <w:tcW w:w="1890"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385" w:type="dxa"/>
            <w:tcBorders>
              <w:top w:val="single" w:color="DDDDDD" w:sz="6" w:space="0"/>
              <w:left w:val="single" w:color="DDDDDD" w:sz="6" w:space="0"/>
              <w:bottom w:val="single" w:color="DDDDDD" w:sz="6" w:space="0"/>
              <w:right w:val="single" w:color="DDDDDD" w:sz="6" w:space="0"/>
            </w:tcBorders>
            <w:shd w:val="clear" w:color="auto" w:fill="FFFFFF"/>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textAlignment w:val="center"/>
            </w:pPr>
            <w:r>
              <w:rPr>
                <w:rFonts w:hint="eastAsia" w:ascii="宋体" w:hAnsi="宋体" w:eastAsia="宋体" w:cs="宋体"/>
                <w:color w:val="000000"/>
                <w:sz w:val="24"/>
                <w:szCs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585" w:type="dxa"/>
            <w:tcBorders>
              <w:top w:val="single" w:color="000000" w:sz="6" w:space="0"/>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项    目</w:t>
            </w:r>
          </w:p>
        </w:tc>
        <w:tc>
          <w:tcPr>
            <w:tcW w:w="1890" w:type="dxa"/>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黑体" w:hAnsi="宋体" w:eastAsia="黑体" w:cs="黑体"/>
                <w:color w:val="000000"/>
                <w:sz w:val="24"/>
                <w:szCs w:val="24"/>
              </w:rPr>
              <w:t>201</w:t>
            </w:r>
            <w:r>
              <w:rPr>
                <w:rFonts w:hint="eastAsia" w:ascii="宋体" w:hAnsi="宋体" w:eastAsia="宋体" w:cs="宋体"/>
                <w:color w:val="000000"/>
                <w:sz w:val="24"/>
                <w:szCs w:val="24"/>
              </w:rPr>
              <w:t>7</w:t>
            </w:r>
            <w:r>
              <w:rPr>
                <w:rFonts w:hint="eastAsia" w:ascii="黑体" w:hAnsi="宋体" w:eastAsia="黑体" w:cs="黑体"/>
                <w:color w:val="000000"/>
                <w:sz w:val="24"/>
                <w:szCs w:val="24"/>
              </w:rPr>
              <w:t>年决算数</w:t>
            </w:r>
          </w:p>
        </w:tc>
        <w:tc>
          <w:tcPr>
            <w:tcW w:w="2385" w:type="dxa"/>
            <w:tcBorders>
              <w:top w:val="single" w:color="000000" w:sz="6" w:space="0"/>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2018</w:t>
            </w:r>
            <w:r>
              <w:rPr>
                <w:rFonts w:hint="eastAsia" w:ascii="黑体" w:hAnsi="宋体" w:eastAsia="黑体" w:cs="黑体"/>
                <w:color w:val="000000"/>
                <w:sz w:val="24"/>
                <w:szCs w:val="24"/>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合    计</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5.03</w:t>
            </w: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Fonts w:hint="eastAsia" w:ascii="宋体" w:hAnsi="宋体" w:eastAsia="宋体" w:cs="宋体"/>
                <w:color w:val="000000"/>
                <w:sz w:val="24"/>
                <w:szCs w:val="24"/>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1、因公出国（境）费</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2、公务接待费</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0.46</w:t>
            </w: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3、公务用车购置及运行费</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4.57</w:t>
            </w: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其中: （1）公务用车运行维护费</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4.57</w:t>
            </w: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textAlignment w:val="center"/>
            </w:pPr>
            <w:r>
              <w:rPr>
                <w:rStyle w:val="6"/>
                <w:rFonts w:hint="eastAsia" w:ascii="宋体" w:hAnsi="宋体" w:eastAsia="宋体" w:cs="宋体"/>
                <w:color w:val="000000"/>
                <w:sz w:val="24"/>
                <w:szCs w:val="24"/>
              </w:rPr>
              <w:t>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585" w:type="dxa"/>
            <w:tcBorders>
              <w:top w:val="nil"/>
              <w:left w:val="single" w:color="000000" w:sz="6" w:space="0"/>
              <w:bottom w:val="single" w:color="000000" w:sz="6" w:space="0"/>
              <w:right w:val="single" w:color="000000" w:sz="6" w:space="0"/>
            </w:tcBorders>
            <w:noWrap w:val="0"/>
            <w:tcMar>
              <w:top w:w="15" w:type="dxa"/>
              <w:left w:w="15" w:type="dxa"/>
              <w:bottom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left"/>
              <w:textAlignment w:val="center"/>
            </w:pPr>
            <w:r>
              <w:rPr>
                <w:rFonts w:hint="eastAsia" w:ascii="宋体" w:hAnsi="宋体" w:eastAsia="宋体" w:cs="宋体"/>
                <w:color w:val="000000"/>
                <w:sz w:val="24"/>
                <w:szCs w:val="24"/>
              </w:rPr>
              <w:t>      （2）公务用车购置</w:t>
            </w:r>
          </w:p>
        </w:tc>
        <w:tc>
          <w:tcPr>
            <w:tcW w:w="1890"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c>
          <w:tcPr>
            <w:tcW w:w="2385" w:type="dxa"/>
            <w:tcBorders>
              <w:top w:val="nil"/>
              <w:left w:val="nil"/>
              <w:bottom w:val="single" w:color="000000" w:sz="6" w:space="0"/>
              <w:right w:val="single" w:color="000000" w:sz="6" w:space="0"/>
            </w:tcBorders>
            <w:noWrap w:val="0"/>
            <w:tcMar>
              <w:top w:w="15" w:type="dxa"/>
              <w:left w:w="15" w:type="dxa"/>
              <w:bottom w:w="15" w:type="dxa"/>
              <w:right w:w="15" w:type="dxa"/>
            </w:tcMar>
            <w:vAlign w:val="center"/>
          </w:tcPr>
          <w:p>
            <w:pPr>
              <w:keepNext w:val="0"/>
              <w:keepLines w:val="0"/>
              <w:widowControl/>
              <w:suppressLineNumbers w:val="0"/>
              <w:spacing w:before="0" w:beforeAutospacing="0" w:after="0" w:afterAutospacing="0"/>
              <w:ind w:left="0" w:right="0"/>
              <w:jc w:val="left"/>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center"/>
      </w:pPr>
      <w:r>
        <w:rPr>
          <w:rStyle w:val="6"/>
          <w:rFonts w:hint="eastAsia" w:ascii="宋体" w:hAnsi="宋体" w:eastAsia="宋体" w:cs="宋体"/>
          <w:i w:val="0"/>
          <w:iCs w:val="0"/>
          <w:caps w:val="0"/>
          <w:color w:val="333333"/>
          <w:spacing w:val="0"/>
          <w:sz w:val="24"/>
          <w:szCs w:val="24"/>
          <w:shd w:val="clear" w:color="auto" w:fill="FFFFFF"/>
        </w:rPr>
        <w:t>第三部分 本溪市南芬区环保局2018年度部门决算情况说明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65"/>
      </w:pPr>
      <w:r>
        <w:rPr>
          <w:rFonts w:hint="eastAsia" w:ascii="黑体" w:hAnsi="宋体" w:eastAsia="黑体" w:cs="黑体"/>
          <w:i w:val="0"/>
          <w:iCs w:val="0"/>
          <w:caps w:val="0"/>
          <w:color w:val="333333"/>
          <w:spacing w:val="0"/>
          <w:sz w:val="24"/>
          <w:szCs w:val="24"/>
          <w:shd w:val="clear" w:color="auto" w:fill="FFFFFF"/>
        </w:rPr>
        <w:t>一、收入支出决算总体情况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Style w:val="6"/>
          <w:rFonts w:ascii="楷体_GB2312" w:hAnsi="微软雅黑" w:eastAsia="楷体_GB2312" w:cs="楷体_GB2312"/>
          <w:i w:val="0"/>
          <w:iCs w:val="0"/>
          <w:caps w:val="0"/>
          <w:color w:val="333333"/>
          <w:spacing w:val="0"/>
          <w:sz w:val="24"/>
          <w:szCs w:val="24"/>
          <w:shd w:val="clear" w:color="auto" w:fill="FFFFFF"/>
        </w:rPr>
        <w:t>（一）收入总计</w:t>
      </w:r>
      <w:r>
        <w:rPr>
          <w:rFonts w:hint="eastAsia" w:ascii="宋体" w:hAnsi="宋体" w:eastAsia="宋体" w:cs="宋体"/>
          <w:i w:val="0"/>
          <w:iCs w:val="0"/>
          <w:caps w:val="0"/>
          <w:color w:val="000000"/>
          <w:spacing w:val="0"/>
          <w:sz w:val="24"/>
          <w:szCs w:val="24"/>
          <w:shd w:val="clear" w:color="auto" w:fill="FFFFFF"/>
        </w:rPr>
        <w:t>345.62</w:t>
      </w:r>
      <w:r>
        <w:rPr>
          <w:rStyle w:val="6"/>
          <w:rFonts w:hint="default" w:ascii="楷体_GB2312" w:hAnsi="微软雅黑" w:eastAsia="楷体_GB2312" w:cs="楷体_GB2312"/>
          <w:i w:val="0"/>
          <w:iCs w:val="0"/>
          <w:caps w:val="0"/>
          <w:color w:val="333333"/>
          <w:spacing w:val="0"/>
          <w:sz w:val="24"/>
          <w:szCs w:val="24"/>
          <w:shd w:val="clear" w:color="auto" w:fill="FFFFFF"/>
        </w:rPr>
        <w:t>万元，包括：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Fonts w:hint="default" w:ascii="仿宋_GB2312" w:hAnsi="微软雅黑" w:eastAsia="仿宋_GB2312" w:cs="仿宋_GB2312"/>
          <w:i w:val="0"/>
          <w:iCs w:val="0"/>
          <w:caps w:val="0"/>
          <w:color w:val="333333"/>
          <w:spacing w:val="0"/>
          <w:sz w:val="24"/>
          <w:szCs w:val="24"/>
          <w:shd w:val="clear" w:color="auto" w:fill="FFFFFF"/>
        </w:rPr>
        <w:t>1.财政拨款收入万</w:t>
      </w:r>
      <w:r>
        <w:rPr>
          <w:rFonts w:hint="eastAsia" w:ascii="宋体" w:hAnsi="宋体" w:eastAsia="宋体" w:cs="宋体"/>
          <w:i w:val="0"/>
          <w:iCs w:val="0"/>
          <w:caps w:val="0"/>
          <w:color w:val="000000"/>
          <w:spacing w:val="0"/>
          <w:sz w:val="24"/>
          <w:szCs w:val="24"/>
          <w:shd w:val="clear" w:color="auto" w:fill="FFFFFF"/>
        </w:rPr>
        <w:t>345.62</w:t>
      </w:r>
      <w:r>
        <w:rPr>
          <w:rFonts w:hint="default" w:ascii="仿宋_GB2312" w:hAnsi="微软雅黑" w:eastAsia="仿宋_GB2312" w:cs="仿宋_GB2312"/>
          <w:i w:val="0"/>
          <w:iCs w:val="0"/>
          <w:caps w:val="0"/>
          <w:color w:val="333333"/>
          <w:spacing w:val="0"/>
          <w:sz w:val="24"/>
          <w:szCs w:val="24"/>
          <w:shd w:val="clear" w:color="auto" w:fill="FFFFFF"/>
        </w:rPr>
        <w:t>元，其中：公共预算财政拨款收入</w:t>
      </w:r>
      <w:r>
        <w:rPr>
          <w:rFonts w:hint="eastAsia" w:ascii="宋体" w:hAnsi="宋体" w:eastAsia="宋体" w:cs="宋体"/>
          <w:i w:val="0"/>
          <w:iCs w:val="0"/>
          <w:caps w:val="0"/>
          <w:color w:val="000000"/>
          <w:spacing w:val="0"/>
          <w:sz w:val="24"/>
          <w:szCs w:val="24"/>
          <w:shd w:val="clear" w:color="auto" w:fill="FFFFFF"/>
        </w:rPr>
        <w:t>345.62</w:t>
      </w:r>
      <w:r>
        <w:rPr>
          <w:rFonts w:hint="default" w:ascii="仿宋_GB2312" w:hAnsi="微软雅黑" w:eastAsia="仿宋_GB2312" w:cs="仿宋_GB2312"/>
          <w:i w:val="0"/>
          <w:iCs w:val="0"/>
          <w:caps w:val="0"/>
          <w:color w:val="333333"/>
          <w:spacing w:val="0"/>
          <w:sz w:val="24"/>
          <w:szCs w:val="24"/>
          <w:shd w:val="clear" w:color="auto"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Style w:val="6"/>
          <w:rFonts w:hint="default" w:ascii="楷体_GB2312" w:hAnsi="微软雅黑" w:eastAsia="楷体_GB2312" w:cs="楷体_GB2312"/>
          <w:i w:val="0"/>
          <w:iCs w:val="0"/>
          <w:caps w:val="0"/>
          <w:color w:val="333333"/>
          <w:spacing w:val="0"/>
          <w:sz w:val="24"/>
          <w:szCs w:val="24"/>
          <w:shd w:val="clear" w:color="auto" w:fill="FFFFFF"/>
        </w:rPr>
        <w:t>（二）支出总计</w:t>
      </w:r>
      <w:r>
        <w:rPr>
          <w:rFonts w:hint="eastAsia" w:ascii="宋体" w:hAnsi="宋体" w:eastAsia="宋体" w:cs="宋体"/>
          <w:i w:val="0"/>
          <w:iCs w:val="0"/>
          <w:caps w:val="0"/>
          <w:color w:val="000000"/>
          <w:spacing w:val="0"/>
          <w:sz w:val="24"/>
          <w:szCs w:val="24"/>
          <w:shd w:val="clear" w:color="auto" w:fill="FFFFFF"/>
        </w:rPr>
        <w:t>306.18</w:t>
      </w:r>
      <w:r>
        <w:rPr>
          <w:rStyle w:val="6"/>
          <w:rFonts w:hint="default" w:ascii="楷体_GB2312" w:hAnsi="微软雅黑" w:eastAsia="楷体_GB2312" w:cs="楷体_GB2312"/>
          <w:i w:val="0"/>
          <w:iCs w:val="0"/>
          <w:caps w:val="0"/>
          <w:color w:val="333333"/>
          <w:spacing w:val="0"/>
          <w:sz w:val="24"/>
          <w:szCs w:val="24"/>
          <w:shd w:val="clear" w:color="auto" w:fill="FFFFFF"/>
        </w:rPr>
        <w:t>万元，包括：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Fonts w:hint="default" w:ascii="仿宋_GB2312" w:hAnsi="微软雅黑" w:eastAsia="仿宋_GB2312" w:cs="仿宋_GB2312"/>
          <w:i w:val="0"/>
          <w:iCs w:val="0"/>
          <w:caps w:val="0"/>
          <w:color w:val="333333"/>
          <w:spacing w:val="0"/>
          <w:sz w:val="24"/>
          <w:szCs w:val="24"/>
          <w:shd w:val="clear" w:color="auto" w:fill="FFFFFF"/>
        </w:rPr>
        <w:t>1.基本支出</w:t>
      </w:r>
      <w:r>
        <w:rPr>
          <w:rFonts w:hint="eastAsia" w:ascii="宋体" w:hAnsi="宋体" w:eastAsia="宋体" w:cs="宋体"/>
          <w:i w:val="0"/>
          <w:iCs w:val="0"/>
          <w:caps w:val="0"/>
          <w:color w:val="000000"/>
          <w:spacing w:val="0"/>
          <w:sz w:val="24"/>
          <w:szCs w:val="24"/>
          <w:shd w:val="clear" w:color="auto" w:fill="FFFFFF"/>
        </w:rPr>
        <w:t>183.61</w:t>
      </w:r>
      <w:r>
        <w:rPr>
          <w:rFonts w:hint="default" w:ascii="仿宋_GB2312" w:hAnsi="微软雅黑" w:eastAsia="仿宋_GB2312" w:cs="仿宋_GB2312"/>
          <w:i w:val="0"/>
          <w:iCs w:val="0"/>
          <w:caps w:val="0"/>
          <w:color w:val="333333"/>
          <w:spacing w:val="0"/>
          <w:sz w:val="24"/>
          <w:szCs w:val="24"/>
          <w:shd w:val="clear" w:color="auto" w:fill="FFFFFF"/>
        </w:rPr>
        <w:t>万元，主要是为保障机构正常运转、完成日常工作任务而发生的各项支出，其中：工资福利支出</w:t>
      </w:r>
      <w:r>
        <w:rPr>
          <w:rFonts w:hint="eastAsia" w:ascii="宋体" w:hAnsi="宋体" w:eastAsia="宋体" w:cs="宋体"/>
          <w:i w:val="0"/>
          <w:iCs w:val="0"/>
          <w:caps w:val="0"/>
          <w:color w:val="000000"/>
          <w:spacing w:val="0"/>
          <w:sz w:val="24"/>
          <w:szCs w:val="24"/>
          <w:shd w:val="clear" w:color="auto" w:fill="FFFFFF"/>
        </w:rPr>
        <w:t>155.83</w:t>
      </w:r>
      <w:r>
        <w:rPr>
          <w:rFonts w:hint="default" w:ascii="仿宋_GB2312" w:hAnsi="微软雅黑" w:eastAsia="仿宋_GB2312" w:cs="仿宋_GB2312"/>
          <w:i w:val="0"/>
          <w:iCs w:val="0"/>
          <w:caps w:val="0"/>
          <w:color w:val="333333"/>
          <w:spacing w:val="0"/>
          <w:sz w:val="24"/>
          <w:szCs w:val="24"/>
          <w:shd w:val="clear" w:color="auto" w:fill="FFFFFF"/>
        </w:rPr>
        <w:t>万元，对个人和家庭的补助支出</w:t>
      </w:r>
      <w:r>
        <w:rPr>
          <w:rFonts w:hint="eastAsia" w:ascii="宋体" w:hAnsi="宋体" w:eastAsia="宋体" w:cs="宋体"/>
          <w:i w:val="0"/>
          <w:iCs w:val="0"/>
          <w:caps w:val="0"/>
          <w:color w:val="000000"/>
          <w:spacing w:val="0"/>
          <w:sz w:val="24"/>
          <w:szCs w:val="24"/>
          <w:shd w:val="clear" w:color="auto" w:fill="FFFFFF"/>
        </w:rPr>
        <w:t>6.68</w:t>
      </w:r>
      <w:r>
        <w:rPr>
          <w:rFonts w:hint="default" w:ascii="仿宋_GB2312" w:hAnsi="微软雅黑" w:eastAsia="仿宋_GB2312" w:cs="仿宋_GB2312"/>
          <w:i w:val="0"/>
          <w:iCs w:val="0"/>
          <w:caps w:val="0"/>
          <w:color w:val="333333"/>
          <w:spacing w:val="0"/>
          <w:sz w:val="24"/>
          <w:szCs w:val="24"/>
          <w:shd w:val="clear" w:color="auto" w:fill="FFFFFF"/>
        </w:rPr>
        <w:t>万元，商品和服务支出</w:t>
      </w:r>
      <w:r>
        <w:rPr>
          <w:rFonts w:hint="eastAsia" w:ascii="宋体" w:hAnsi="宋体" w:eastAsia="宋体" w:cs="宋体"/>
          <w:i w:val="0"/>
          <w:iCs w:val="0"/>
          <w:caps w:val="0"/>
          <w:color w:val="000000"/>
          <w:spacing w:val="0"/>
          <w:sz w:val="24"/>
          <w:szCs w:val="24"/>
          <w:shd w:val="clear" w:color="auto" w:fill="FFFFFF"/>
        </w:rPr>
        <w:t>21.10</w:t>
      </w:r>
      <w:r>
        <w:rPr>
          <w:rFonts w:hint="default" w:ascii="仿宋_GB2312" w:hAnsi="微软雅黑" w:eastAsia="仿宋_GB2312" w:cs="仿宋_GB2312"/>
          <w:i w:val="0"/>
          <w:iCs w:val="0"/>
          <w:caps w:val="0"/>
          <w:color w:val="333333"/>
          <w:spacing w:val="0"/>
          <w:sz w:val="24"/>
          <w:szCs w:val="24"/>
          <w:shd w:val="clear" w:color="auto" w:fill="FFFFFF"/>
        </w:rPr>
        <w:t>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Fonts w:hint="eastAsia" w:ascii="黑体" w:hAnsi="宋体" w:eastAsia="黑体" w:cs="黑体"/>
          <w:i w:val="0"/>
          <w:iCs w:val="0"/>
          <w:caps w:val="0"/>
          <w:color w:val="333333"/>
          <w:spacing w:val="0"/>
          <w:sz w:val="24"/>
          <w:szCs w:val="24"/>
          <w:shd w:val="clear" w:color="auto" w:fill="FFFFFF"/>
        </w:rPr>
        <w:t>二、一般公共预算财政拨款支出决算情况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Style w:val="6"/>
          <w:rFonts w:hint="default" w:ascii="楷体_GB2312" w:hAnsi="微软雅黑" w:eastAsia="楷体_GB2312" w:cs="楷体_GB2312"/>
          <w:i w:val="0"/>
          <w:iCs w:val="0"/>
          <w:caps w:val="0"/>
          <w:color w:val="333333"/>
          <w:spacing w:val="0"/>
          <w:sz w:val="24"/>
          <w:szCs w:val="24"/>
          <w:shd w:val="clear" w:color="auto" w:fill="FFFFFF"/>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Fonts w:hint="default" w:ascii="仿宋_GB2312" w:hAnsi="微软雅黑" w:eastAsia="仿宋_GB2312" w:cs="仿宋_GB2312"/>
          <w:i w:val="0"/>
          <w:iCs w:val="0"/>
          <w:caps w:val="0"/>
          <w:color w:val="333333"/>
          <w:spacing w:val="0"/>
          <w:sz w:val="24"/>
          <w:szCs w:val="24"/>
          <w:shd w:val="clear" w:color="auto" w:fill="FFFFFF"/>
        </w:rPr>
        <w:t>公共预算财政拨款支出决算反映本溪市财政局2018年整体公共预算财政拨款支出情况，既包括使用当年公共预算财政拨款发生的支出，也包括使用以前年度公共预算财政拨款结转和结余资金发生的支出。2018年度公共预算财政拨款支出</w:t>
      </w:r>
      <w:r>
        <w:rPr>
          <w:rFonts w:hint="eastAsia" w:ascii="宋体" w:hAnsi="宋体" w:eastAsia="宋体" w:cs="宋体"/>
          <w:i w:val="0"/>
          <w:iCs w:val="0"/>
          <w:caps w:val="0"/>
          <w:color w:val="000000"/>
          <w:spacing w:val="0"/>
          <w:sz w:val="24"/>
          <w:szCs w:val="24"/>
          <w:shd w:val="clear" w:color="auto" w:fill="FFFFFF"/>
        </w:rPr>
        <w:t>306.18</w:t>
      </w:r>
      <w:r>
        <w:rPr>
          <w:rFonts w:hint="default" w:ascii="仿宋_GB2312" w:hAnsi="微软雅黑" w:eastAsia="仿宋_GB2312" w:cs="仿宋_GB2312"/>
          <w:i w:val="0"/>
          <w:iCs w:val="0"/>
          <w:caps w:val="0"/>
          <w:color w:val="333333"/>
          <w:spacing w:val="0"/>
          <w:sz w:val="24"/>
          <w:szCs w:val="24"/>
          <w:shd w:val="clear" w:color="auto" w:fill="FFFFFF"/>
        </w:rPr>
        <w:t>万元，其中：基本支出</w:t>
      </w:r>
      <w:r>
        <w:rPr>
          <w:rFonts w:hint="eastAsia" w:ascii="宋体" w:hAnsi="宋体" w:eastAsia="宋体" w:cs="宋体"/>
          <w:i w:val="0"/>
          <w:iCs w:val="0"/>
          <w:caps w:val="0"/>
          <w:color w:val="000000"/>
          <w:spacing w:val="0"/>
          <w:sz w:val="24"/>
          <w:szCs w:val="24"/>
          <w:shd w:val="clear" w:color="auto" w:fill="FFFFFF"/>
        </w:rPr>
        <w:t>183.61</w:t>
      </w:r>
      <w:r>
        <w:rPr>
          <w:rFonts w:hint="default" w:ascii="仿宋_GB2312" w:hAnsi="微软雅黑" w:eastAsia="仿宋_GB2312" w:cs="仿宋_GB2312"/>
          <w:i w:val="0"/>
          <w:iCs w:val="0"/>
          <w:caps w:val="0"/>
          <w:color w:val="333333"/>
          <w:spacing w:val="0"/>
          <w:sz w:val="24"/>
          <w:szCs w:val="24"/>
          <w:shd w:val="clear" w:color="auto" w:fill="FFFFFF"/>
        </w:rPr>
        <w:t>万元，项目支出122.57万元。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pPr>
      <w:r>
        <w:rPr>
          <w:rStyle w:val="6"/>
          <w:rFonts w:hint="default" w:ascii="楷体_GB2312" w:hAnsi="微软雅黑" w:eastAsia="楷体_GB2312" w:cs="楷体_GB2312"/>
          <w:i w:val="0"/>
          <w:iCs w:val="0"/>
          <w:caps w:val="0"/>
          <w:color w:val="333333"/>
          <w:spacing w:val="0"/>
          <w:sz w:val="24"/>
          <w:szCs w:val="24"/>
          <w:shd w:val="clear" w:color="auto" w:fill="FFFFFF"/>
        </w:rPr>
        <w:t>（二）具体情况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60"/>
        <w:textAlignment w:val="auto"/>
      </w:pPr>
      <w:r>
        <w:rPr>
          <w:rFonts w:hint="default" w:ascii="仿宋_GB2312" w:hAnsi="微软雅黑" w:eastAsia="仿宋_GB2312" w:cs="仿宋_GB2312"/>
          <w:i w:val="0"/>
          <w:iCs w:val="0"/>
          <w:caps w:val="0"/>
          <w:color w:val="333333"/>
          <w:spacing w:val="0"/>
          <w:sz w:val="24"/>
          <w:szCs w:val="24"/>
          <w:shd w:val="clear" w:color="auto" w:fill="FFFFFF"/>
        </w:rPr>
        <w:t>2018年度公共预算财政拨款支出</w:t>
      </w:r>
      <w:r>
        <w:rPr>
          <w:rFonts w:hint="eastAsia" w:ascii="宋体" w:hAnsi="宋体" w:eastAsia="宋体" w:cs="宋体"/>
          <w:i w:val="0"/>
          <w:iCs w:val="0"/>
          <w:caps w:val="0"/>
          <w:color w:val="000000"/>
          <w:spacing w:val="0"/>
          <w:sz w:val="24"/>
          <w:szCs w:val="24"/>
          <w:shd w:val="clear" w:color="auto" w:fill="FFFFFF"/>
        </w:rPr>
        <w:t>306.81</w:t>
      </w:r>
      <w:r>
        <w:rPr>
          <w:rFonts w:hint="default" w:ascii="仿宋_GB2312" w:hAnsi="微软雅黑" w:eastAsia="仿宋_GB2312" w:cs="仿宋_GB2312"/>
          <w:i w:val="0"/>
          <w:iCs w:val="0"/>
          <w:caps w:val="0"/>
          <w:color w:val="333333"/>
          <w:spacing w:val="0"/>
          <w:sz w:val="24"/>
          <w:szCs w:val="24"/>
          <w:shd w:val="clear" w:color="auto" w:fill="FFFFFF"/>
        </w:rPr>
        <w:t>万元，按支出功能分类科目分，包括一般公共服务支出145.07万元，商业服务业等事务支出21.10万元，住房保障支出10.76万元，对个人和家庭补助支出6.68万元，项目支出122.57万元。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1. 一般公共服务支出145.07万元，包括：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（1）行政运行22.26万元，主要是行政人员工资支出。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（2）一般行政管理事务122.81万元，主要是事业人员工资支出。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2.商业服务业等事务支出21.10万元，包括：其他商业通事务支出21.10万元，主要是办公费、取暖费、车燃费等支出。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3. 住房保障支出10.76万元，包括：住房公积金10.76万元。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pPr>
      <w:r>
        <w:rPr>
          <w:rFonts w:hint="default" w:ascii="仿宋_GB2312" w:hAnsi="微软雅黑" w:eastAsia="仿宋_GB2312" w:cs="仿宋_GB2312"/>
          <w:i w:val="0"/>
          <w:iCs w:val="0"/>
          <w:caps w:val="0"/>
          <w:color w:val="333333"/>
          <w:spacing w:val="0"/>
          <w:sz w:val="24"/>
          <w:szCs w:val="24"/>
          <w:shd w:val="clear" w:color="auto" w:fill="FFFFFF"/>
        </w:rPr>
        <w:t>4、对个人和家庭补助支出6.68万元，主要是原环保局员工丧葬抚恤金支出。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rPr>
          <w:rFonts w:hint="default" w:ascii="仿宋_GB2312" w:hAnsi="微软雅黑" w:eastAsia="仿宋_GB2312" w:cs="仿宋_GB2312"/>
          <w:i w:val="0"/>
          <w:iCs w:val="0"/>
          <w:caps w:val="0"/>
          <w:color w:val="333333"/>
          <w:spacing w:val="0"/>
          <w:sz w:val="24"/>
          <w:szCs w:val="24"/>
          <w:shd w:val="clear" w:color="auto" w:fill="FFFFFF"/>
        </w:rPr>
      </w:pPr>
      <w:r>
        <w:rPr>
          <w:rFonts w:hint="default" w:ascii="仿宋_GB2312" w:hAnsi="微软雅黑" w:eastAsia="仿宋_GB2312" w:cs="仿宋_GB2312"/>
          <w:i w:val="0"/>
          <w:iCs w:val="0"/>
          <w:caps w:val="0"/>
          <w:color w:val="333333"/>
          <w:spacing w:val="0"/>
          <w:sz w:val="24"/>
          <w:szCs w:val="24"/>
          <w:shd w:val="clear" w:color="auto" w:fill="FFFFFF"/>
        </w:rPr>
        <w:t>5、项目支出122.57万元，其中锅炉改造支出90.57万元，秸秆管控支出32.00万元。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58"/>
        <w:textAlignment w:val="auto"/>
        <w:rPr>
          <w:rFonts w:hint="default" w:ascii="仿宋_GB2312" w:hAnsi="微软雅黑" w:eastAsia="仿宋_GB2312" w:cs="仿宋_GB2312"/>
          <w:i w:val="0"/>
          <w:iCs w:val="0"/>
          <w:caps w:val="0"/>
          <w:color w:val="333333"/>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60"/>
        <w:rPr>
          <w:rFonts w:hint="eastAsia" w:ascii="宋体" w:hAnsi="宋体" w:eastAsia="宋体" w:cs="宋体"/>
          <w:b/>
          <w:bCs/>
        </w:rPr>
      </w:pPr>
      <w:r>
        <w:rPr>
          <w:rFonts w:hint="eastAsia" w:ascii="宋体" w:hAnsi="宋体" w:eastAsia="宋体" w:cs="宋体"/>
          <w:b/>
          <w:bCs/>
          <w:i w:val="0"/>
          <w:iCs w:val="0"/>
          <w:caps w:val="0"/>
          <w:color w:val="333333"/>
          <w:spacing w:val="0"/>
          <w:sz w:val="24"/>
          <w:szCs w:val="24"/>
          <w:shd w:val="clear" w:color="auto" w:fill="FFFFFF"/>
        </w:rPr>
        <w:t>三、一般公共预算财政拨款“三公”经费支出决算情况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6"/>
        <w:textAlignment w:val="auto"/>
        <w:rPr>
          <w:rFonts w:hint="eastAsia" w:ascii="仿宋_GB2312" w:hAnsi="微软雅黑" w:eastAsia="仿宋_GB2312" w:cs="仿宋_GB2312"/>
          <w:i w:val="0"/>
          <w:iCs w:val="0"/>
          <w:caps w:val="0"/>
          <w:color w:val="333333"/>
          <w:spacing w:val="0"/>
          <w:sz w:val="24"/>
          <w:szCs w:val="24"/>
          <w:shd w:val="clear" w:color="auto" w:fill="FFFFFF"/>
          <w:lang w:eastAsia="zh-CN"/>
        </w:rPr>
      </w:pPr>
      <w:r>
        <w:rPr>
          <w:rFonts w:hint="default" w:ascii="仿宋_GB2312" w:hAnsi="微软雅黑" w:eastAsia="仿宋_GB2312" w:cs="仿宋_GB2312"/>
          <w:i w:val="0"/>
          <w:iCs w:val="0"/>
          <w:caps w:val="0"/>
          <w:color w:val="333333"/>
          <w:spacing w:val="0"/>
          <w:sz w:val="24"/>
          <w:szCs w:val="24"/>
          <w:shd w:val="clear" w:color="auto" w:fill="FFFFFF"/>
        </w:rPr>
        <w:t>2018年度公共预算财政拨款安排的“三公”经费支出5.95万元，其中：</w:t>
      </w:r>
      <w:r>
        <w:rPr>
          <w:rFonts w:hint="eastAsia" w:ascii="仿宋_GB2312" w:hAnsi="微软雅黑" w:eastAsia="仿宋_GB2312" w:cs="仿宋_GB2312"/>
          <w:i w:val="0"/>
          <w:iCs w:val="0"/>
          <w:caps w:val="0"/>
          <w:color w:val="333333"/>
          <w:spacing w:val="0"/>
          <w:sz w:val="24"/>
          <w:szCs w:val="24"/>
          <w:shd w:val="clear" w:color="auto" w:fill="FFFFFF"/>
          <w:lang w:eastAsia="zh-CN"/>
        </w:rPr>
        <w:t>出国（境）费</w:t>
      </w:r>
      <w:r>
        <w:rPr>
          <w:rFonts w:hint="eastAsia" w:ascii="仿宋_GB2312" w:hAnsi="微软雅黑" w:eastAsia="仿宋_GB2312" w:cs="仿宋_GB2312"/>
          <w:i w:val="0"/>
          <w:iCs w:val="0"/>
          <w:caps w:val="0"/>
          <w:color w:val="333333"/>
          <w:spacing w:val="0"/>
          <w:sz w:val="24"/>
          <w:szCs w:val="24"/>
          <w:shd w:val="clear" w:color="auto" w:fill="FFFFFF"/>
          <w:lang w:val="en-US" w:eastAsia="zh-CN"/>
        </w:rPr>
        <w:t>0万元0人次，公务招待费0万元0批次0人次，</w:t>
      </w:r>
      <w:r>
        <w:rPr>
          <w:rFonts w:hint="default" w:ascii="仿宋_GB2312" w:hAnsi="微软雅黑" w:eastAsia="仿宋_GB2312" w:cs="仿宋_GB2312"/>
          <w:i w:val="0"/>
          <w:iCs w:val="0"/>
          <w:caps w:val="0"/>
          <w:color w:val="333333"/>
          <w:spacing w:val="0"/>
          <w:sz w:val="24"/>
          <w:szCs w:val="24"/>
          <w:shd w:val="clear" w:color="auto" w:fill="FFFFFF"/>
        </w:rPr>
        <w:t>公务用车购置</w:t>
      </w:r>
      <w:r>
        <w:rPr>
          <w:rFonts w:hint="eastAsia" w:ascii="仿宋_GB2312" w:hAnsi="微软雅黑" w:eastAsia="仿宋_GB2312" w:cs="仿宋_GB2312"/>
          <w:i w:val="0"/>
          <w:iCs w:val="0"/>
          <w:caps w:val="0"/>
          <w:color w:val="333333"/>
          <w:spacing w:val="0"/>
          <w:sz w:val="24"/>
          <w:szCs w:val="24"/>
          <w:shd w:val="clear" w:color="auto" w:fill="FFFFFF"/>
          <w:lang w:eastAsia="zh-CN"/>
        </w:rPr>
        <w:t>费</w:t>
      </w:r>
      <w:r>
        <w:rPr>
          <w:rFonts w:hint="eastAsia" w:ascii="仿宋_GB2312" w:hAnsi="微软雅黑" w:eastAsia="仿宋_GB2312" w:cs="仿宋_GB2312"/>
          <w:i w:val="0"/>
          <w:iCs w:val="0"/>
          <w:caps w:val="0"/>
          <w:color w:val="333333"/>
          <w:spacing w:val="0"/>
          <w:sz w:val="24"/>
          <w:szCs w:val="24"/>
          <w:shd w:val="clear" w:color="auto" w:fill="FFFFFF"/>
          <w:lang w:val="en-US" w:eastAsia="zh-CN"/>
        </w:rPr>
        <w:t>0万元，</w:t>
      </w:r>
      <w:r>
        <w:rPr>
          <w:rFonts w:hint="eastAsia" w:ascii="仿宋_GB2312" w:hAnsi="微软雅黑" w:eastAsia="仿宋_GB2312" w:cs="仿宋_GB2312"/>
          <w:i w:val="0"/>
          <w:iCs w:val="0"/>
          <w:caps w:val="0"/>
          <w:color w:val="333333"/>
          <w:spacing w:val="0"/>
          <w:sz w:val="24"/>
          <w:szCs w:val="24"/>
          <w:shd w:val="clear" w:color="auto" w:fill="FFFFFF"/>
          <w:lang w:eastAsia="zh-CN"/>
        </w:rPr>
        <w:t>公车</w:t>
      </w:r>
      <w:r>
        <w:rPr>
          <w:rFonts w:hint="default" w:ascii="仿宋_GB2312" w:hAnsi="微软雅黑" w:eastAsia="仿宋_GB2312" w:cs="仿宋_GB2312"/>
          <w:i w:val="0"/>
          <w:iCs w:val="0"/>
          <w:caps w:val="0"/>
          <w:color w:val="333333"/>
          <w:spacing w:val="0"/>
          <w:sz w:val="24"/>
          <w:szCs w:val="24"/>
          <w:shd w:val="clear" w:color="auto" w:fill="FFFFFF"/>
        </w:rPr>
        <w:t>运行维护费5.95万元。</w:t>
      </w:r>
      <w:r>
        <w:rPr>
          <w:rFonts w:hint="eastAsia" w:ascii="仿宋_GB2312" w:hAnsi="微软雅黑" w:eastAsia="仿宋_GB2312" w:cs="仿宋_GB2312"/>
          <w:i w:val="0"/>
          <w:iCs w:val="0"/>
          <w:caps w:val="0"/>
          <w:color w:val="333333"/>
          <w:spacing w:val="0"/>
          <w:sz w:val="24"/>
          <w:szCs w:val="24"/>
          <w:shd w:val="clear" w:color="auto" w:fill="FFFFFF"/>
          <w:lang w:eastAsia="zh-CN"/>
        </w:rPr>
        <w:t>公</w:t>
      </w:r>
      <w:r>
        <w:rPr>
          <w:rFonts w:hint="default" w:ascii="仿宋_GB2312" w:hAnsi="微软雅黑" w:eastAsia="仿宋_GB2312" w:cs="仿宋_GB2312"/>
          <w:i w:val="0"/>
          <w:iCs w:val="0"/>
          <w:caps w:val="0"/>
          <w:color w:val="333333"/>
          <w:spacing w:val="0"/>
          <w:sz w:val="24"/>
          <w:szCs w:val="24"/>
          <w:shd w:val="clear" w:color="auto" w:fill="FFFFFF"/>
        </w:rPr>
        <w:t>车</w:t>
      </w:r>
      <w:r>
        <w:rPr>
          <w:rFonts w:hint="eastAsia" w:ascii="仿宋_GB2312" w:hAnsi="微软雅黑" w:eastAsia="仿宋_GB2312" w:cs="仿宋_GB2312"/>
          <w:i w:val="0"/>
          <w:iCs w:val="0"/>
          <w:caps w:val="0"/>
          <w:color w:val="333333"/>
          <w:spacing w:val="0"/>
          <w:sz w:val="24"/>
          <w:szCs w:val="24"/>
          <w:shd w:val="clear" w:color="auto" w:fill="FFFFFF"/>
          <w:lang w:eastAsia="zh-CN"/>
        </w:rPr>
        <w:t>保有量</w:t>
      </w:r>
      <w:r>
        <w:rPr>
          <w:rFonts w:hint="default" w:ascii="仿宋_GB2312" w:hAnsi="微软雅黑" w:eastAsia="仿宋_GB2312" w:cs="仿宋_GB2312"/>
          <w:i w:val="0"/>
          <w:iCs w:val="0"/>
          <w:caps w:val="0"/>
          <w:color w:val="333333"/>
          <w:spacing w:val="0"/>
          <w:sz w:val="24"/>
          <w:szCs w:val="24"/>
          <w:shd w:val="clear" w:color="auto" w:fill="FFFFFF"/>
        </w:rPr>
        <w:t>2辆，其中：环境监察执法用车1辆，公务用车1辆</w:t>
      </w:r>
      <w:r>
        <w:rPr>
          <w:rFonts w:hint="eastAsia" w:ascii="仿宋_GB2312" w:hAnsi="微软雅黑" w:eastAsia="仿宋_GB2312" w:cs="仿宋_GB2312"/>
          <w:i w:val="0"/>
          <w:iCs w:val="0"/>
          <w:caps w:val="0"/>
          <w:color w:val="333333"/>
          <w:spacing w:val="0"/>
          <w:sz w:val="24"/>
          <w:szCs w:val="24"/>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6"/>
        <w:textAlignment w:val="auto"/>
        <w:rPr>
          <w:rFonts w:hint="default" w:ascii="仿宋_GB2312" w:hAnsi="微软雅黑" w:eastAsia="仿宋_GB2312" w:cs="仿宋_GB2312"/>
          <w:i w:val="0"/>
          <w:iCs w:val="0"/>
          <w:caps w:val="0"/>
          <w:color w:val="333333"/>
          <w:spacing w:val="0"/>
          <w:sz w:val="24"/>
          <w:szCs w:val="24"/>
          <w:shd w:val="clear" w:color="auto" w:fill="FFFFFF"/>
        </w:rPr>
      </w:pPr>
      <w:r>
        <w:rPr>
          <w:rFonts w:hint="default" w:ascii="仿宋_GB2312" w:hAnsi="微软雅黑" w:eastAsia="仿宋_GB2312" w:cs="仿宋_GB2312"/>
          <w:i w:val="0"/>
          <w:iCs w:val="0"/>
          <w:caps w:val="0"/>
          <w:color w:val="333333"/>
          <w:spacing w:val="0"/>
          <w:sz w:val="24"/>
          <w:szCs w:val="24"/>
          <w:shd w:val="clear" w:color="auto" w:fill="FFFFFF"/>
        </w:rPr>
        <w:t>2018年度“三公”经费支出比2017年5.03万元增加0.92万元，增加原因是环保工作量加大。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46"/>
        <w:textAlignment w:val="auto"/>
        <w:rPr>
          <w:rFonts w:hint="eastAsia" w:ascii="宋体" w:hAnsi="宋体" w:eastAsia="宋体" w:cs="宋体"/>
          <w:b/>
          <w:bCs/>
          <w:i w:val="0"/>
          <w:iCs w:val="0"/>
          <w:caps w:val="0"/>
          <w:color w:val="333333"/>
          <w:spacing w:val="0"/>
          <w:sz w:val="24"/>
          <w:szCs w:val="24"/>
          <w:shd w:val="clear" w:color="auto"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right="0" w:firstLine="723" w:firstLineChars="300"/>
        <w:rPr>
          <w:rFonts w:hint="eastAsia" w:ascii="宋体" w:hAnsi="宋体" w:eastAsia="宋体" w:cs="宋体"/>
          <w:b/>
          <w:bCs/>
        </w:rPr>
      </w:pPr>
      <w:r>
        <w:rPr>
          <w:rFonts w:hint="eastAsia" w:ascii="宋体" w:hAnsi="宋体" w:eastAsia="宋体" w:cs="宋体"/>
          <w:b/>
          <w:bCs/>
          <w:i w:val="0"/>
          <w:iCs w:val="0"/>
          <w:caps w:val="0"/>
          <w:color w:val="333333"/>
          <w:spacing w:val="0"/>
          <w:sz w:val="24"/>
          <w:szCs w:val="24"/>
          <w:shd w:val="clear" w:color="auto" w:fill="FFFFFF"/>
        </w:rPr>
        <w:t>四、</w:t>
      </w:r>
      <w:r>
        <w:rPr>
          <w:rFonts w:hint="eastAsia" w:ascii="宋体" w:hAnsi="宋体" w:eastAsia="宋体" w:cs="宋体"/>
          <w:b/>
          <w:bCs/>
          <w:i w:val="0"/>
          <w:iCs w:val="0"/>
          <w:caps w:val="0"/>
          <w:color w:val="333333"/>
          <w:spacing w:val="0"/>
          <w:sz w:val="13"/>
          <w:szCs w:val="13"/>
          <w:shd w:val="clear" w:color="auto" w:fill="FFFFFF"/>
        </w:rPr>
        <w:t>    </w:t>
      </w:r>
      <w:r>
        <w:rPr>
          <w:rFonts w:hint="eastAsia" w:ascii="宋体" w:hAnsi="宋体" w:eastAsia="宋体" w:cs="宋体"/>
          <w:b/>
          <w:bCs/>
          <w:i w:val="0"/>
          <w:iCs w:val="0"/>
          <w:caps w:val="0"/>
          <w:color w:val="333333"/>
          <w:spacing w:val="0"/>
          <w:sz w:val="24"/>
          <w:szCs w:val="24"/>
          <w:shd w:val="clear" w:color="auto" w:fill="FFFFFF"/>
        </w:rPr>
        <w:t>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pPr>
      <w:r>
        <w:rPr>
          <w:rStyle w:val="6"/>
          <w:rFonts w:hint="default" w:ascii="楷体_GB2312" w:hAnsi="微软雅黑" w:eastAsia="楷体_GB2312" w:cs="楷体_GB2312"/>
          <w:i w:val="0"/>
          <w:iCs w:val="0"/>
          <w:caps w:val="0"/>
          <w:color w:val="333333"/>
          <w:spacing w:val="0"/>
          <w:sz w:val="24"/>
          <w:szCs w:val="24"/>
          <w:shd w:val="clear" w:color="auto" w:fill="FFFFFF"/>
        </w:rPr>
        <w:t>（一）</w:t>
      </w:r>
      <w:r>
        <w:rPr>
          <w:rStyle w:val="6"/>
          <w:rFonts w:hint="default" w:ascii="楷体_GB2312" w:hAnsi="微软雅黑" w:eastAsia="楷体_GB2312" w:cs="楷体_GB2312"/>
          <w:i w:val="0"/>
          <w:iCs w:val="0"/>
          <w:caps w:val="0"/>
          <w:color w:val="000000"/>
          <w:spacing w:val="0"/>
          <w:sz w:val="24"/>
          <w:szCs w:val="24"/>
          <w:shd w:val="clear" w:color="auto" w:fill="FFFFFF"/>
        </w:rPr>
        <w:t>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pPr>
      <w:r>
        <w:rPr>
          <w:rFonts w:hint="eastAsia" w:ascii="宋体" w:hAnsi="宋体" w:eastAsia="宋体" w:cs="宋体"/>
          <w:i w:val="0"/>
          <w:iCs w:val="0"/>
          <w:caps w:val="0"/>
          <w:color w:val="000000"/>
          <w:spacing w:val="0"/>
          <w:sz w:val="24"/>
          <w:szCs w:val="24"/>
          <w:shd w:val="clear" w:color="auto" w:fill="FFFFFF"/>
        </w:rPr>
        <w:t>   </w:t>
      </w:r>
      <w:r>
        <w:rPr>
          <w:rFonts w:hint="default" w:ascii="仿宋_GB2312" w:hAnsi="微软雅黑" w:eastAsia="仿宋_GB2312" w:cs="仿宋_GB2312"/>
          <w:i w:val="0"/>
          <w:iCs w:val="0"/>
          <w:caps w:val="0"/>
          <w:color w:val="000000"/>
          <w:spacing w:val="0"/>
          <w:sz w:val="24"/>
          <w:szCs w:val="24"/>
          <w:shd w:val="clear" w:color="auto" w:fill="FFFFFF"/>
        </w:rPr>
        <w:t>2018年环保局机关运行经费支出21.10万元，分别是办公费8.39万元，邮电费0.33万元，差旅费1.91万元，车辆运行维护费5.95万元，公务员车补2.09万元，业务委托费0.38万元，劳务费2.05万元。2018年机关运行经费支出与2017年30.87万元有所减少，</w:t>
      </w:r>
      <w:r>
        <w:rPr>
          <w:rFonts w:hint="default" w:ascii="仿宋_GB2312" w:hAnsi="微软雅黑" w:eastAsia="仿宋_GB2312" w:cs="仿宋_GB2312"/>
          <w:i w:val="0"/>
          <w:iCs w:val="0"/>
          <w:caps w:val="0"/>
          <w:color w:val="333333"/>
          <w:spacing w:val="0"/>
          <w:sz w:val="24"/>
          <w:szCs w:val="24"/>
          <w:shd w:val="clear" w:color="auto" w:fill="FFFFFF"/>
        </w:rPr>
        <w:t>原因是</w:t>
      </w:r>
      <w:r>
        <w:rPr>
          <w:rFonts w:hint="eastAsia" w:ascii="仿宋_GB2312" w:hAnsi="微软雅黑" w:eastAsia="仿宋_GB2312" w:cs="仿宋_GB2312"/>
          <w:i w:val="0"/>
          <w:iCs w:val="0"/>
          <w:caps w:val="0"/>
          <w:color w:val="333333"/>
          <w:spacing w:val="0"/>
          <w:sz w:val="24"/>
          <w:szCs w:val="24"/>
          <w:shd w:val="clear" w:color="auto" w:fill="FFFFFF"/>
          <w:lang w:eastAsia="zh-CN"/>
        </w:rPr>
        <w:t>；厉</w:t>
      </w:r>
      <w:r>
        <w:rPr>
          <w:rFonts w:hint="default" w:ascii="仿宋_GB2312" w:hAnsi="微软雅黑" w:eastAsia="仿宋_GB2312" w:cs="仿宋_GB2312"/>
          <w:i w:val="0"/>
          <w:iCs w:val="0"/>
          <w:caps w:val="0"/>
          <w:color w:val="333333"/>
          <w:spacing w:val="0"/>
          <w:sz w:val="24"/>
          <w:szCs w:val="24"/>
          <w:shd w:val="clear" w:color="auto" w:fill="FFFFFF"/>
        </w:rPr>
        <w:t>行节约。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pPr>
      <w:r>
        <w:rPr>
          <w:rStyle w:val="6"/>
          <w:rFonts w:hint="default" w:ascii="楷体_GB2312" w:hAnsi="微软雅黑" w:eastAsia="楷体_GB2312" w:cs="楷体_GB2312"/>
          <w:i w:val="0"/>
          <w:iCs w:val="0"/>
          <w:caps w:val="0"/>
          <w:color w:val="333333"/>
          <w:spacing w:val="0"/>
          <w:sz w:val="24"/>
          <w:szCs w:val="24"/>
          <w:shd w:val="clear" w:color="auto" w:fill="FFFFFF"/>
        </w:rPr>
        <w:t>（二）国有资产占用情况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720"/>
      </w:pPr>
      <w:r>
        <w:rPr>
          <w:rFonts w:hint="default" w:ascii="仿宋_GB2312" w:hAnsi="微软雅黑" w:eastAsia="仿宋_GB2312" w:cs="仿宋_GB2312"/>
          <w:i w:val="0"/>
          <w:iCs w:val="0"/>
          <w:caps w:val="0"/>
          <w:color w:val="333333"/>
          <w:spacing w:val="0"/>
          <w:sz w:val="24"/>
          <w:szCs w:val="24"/>
          <w:shd w:val="clear" w:color="auto" w:fill="FFFFFF"/>
        </w:rPr>
        <w:t>截至2018年12月31日，环保局共有车2辆，其中：环境监察执法用车1辆，公务用车1辆。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65"/>
      </w:pPr>
      <w:r>
        <w:rPr>
          <w:rStyle w:val="6"/>
          <w:rFonts w:hint="default" w:ascii="仿宋_GB2312" w:hAnsi="微软雅黑" w:eastAsia="仿宋_GB2312" w:cs="仿宋_GB2312"/>
          <w:i w:val="0"/>
          <w:iCs w:val="0"/>
          <w:caps w:val="0"/>
          <w:color w:val="333333"/>
          <w:spacing w:val="0"/>
          <w:sz w:val="24"/>
          <w:szCs w:val="24"/>
          <w:shd w:val="clear" w:color="auto" w:fill="FFFFFF"/>
        </w:rPr>
        <w:t>（三）预算绩效管理工作开展情况：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65"/>
      </w:pPr>
      <w:r>
        <w:rPr>
          <w:rFonts w:hint="default" w:ascii="仿宋_GB2312" w:hAnsi="微软雅黑" w:eastAsia="仿宋_GB2312" w:cs="仿宋_GB2312"/>
          <w:i w:val="0"/>
          <w:iCs w:val="0"/>
          <w:caps w:val="0"/>
          <w:color w:val="333333"/>
          <w:spacing w:val="0"/>
          <w:sz w:val="24"/>
          <w:szCs w:val="24"/>
          <w:shd w:val="clear" w:color="auto" w:fill="FFFFFF"/>
        </w:rPr>
        <w:t>2018年，环保局对0个民生项目和重点项目进行了绩效评价，涉及财政拨款0万元。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楷体_GB2312" w:hAnsi="微软雅黑" w:eastAsia="楷体_GB2312" w:cs="楷体_GB2312"/>
          <w:i w:val="0"/>
          <w:iCs w:val="0"/>
          <w:caps w:val="0"/>
          <w:color w:val="333333"/>
          <w:spacing w:val="0"/>
          <w:sz w:val="24"/>
          <w:szCs w:val="24"/>
          <w:shd w:val="clear" w:color="auto" w:fill="FFFFFF"/>
        </w:rPr>
        <w:t> (四）</w:t>
      </w:r>
      <w:r>
        <w:rPr>
          <w:rStyle w:val="6"/>
          <w:rFonts w:hint="default" w:ascii="楷体_GB2312" w:hAnsi="微软雅黑" w:eastAsia="楷体_GB2312" w:cs="楷体_GB2312"/>
          <w:i w:val="0"/>
          <w:iCs w:val="0"/>
          <w:caps w:val="0"/>
          <w:color w:val="000000"/>
          <w:spacing w:val="0"/>
          <w:sz w:val="24"/>
          <w:szCs w:val="24"/>
          <w:shd w:val="clear" w:color="auto" w:fill="FFFFFF"/>
        </w:rPr>
        <w:t>政府采购支出</w:t>
      </w:r>
      <w:r>
        <w:rPr>
          <w:rStyle w:val="6"/>
          <w:rFonts w:hint="default" w:ascii="楷体_GB2312" w:hAnsi="微软雅黑" w:eastAsia="楷体_GB2312" w:cs="楷体_GB2312"/>
          <w:i w:val="0"/>
          <w:iCs w:val="0"/>
          <w:caps w:val="0"/>
          <w:color w:val="333333"/>
          <w:spacing w:val="0"/>
          <w:sz w:val="24"/>
          <w:szCs w:val="24"/>
          <w:shd w:val="clear" w:color="auto" w:fill="FFFFFF"/>
        </w:rPr>
        <w:t>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Fonts w:hint="default" w:ascii="仿宋_GB2312" w:hAnsi="微软雅黑" w:eastAsia="仿宋_GB2312" w:cs="仿宋_GB2312"/>
          <w:i w:val="0"/>
          <w:iCs w:val="0"/>
          <w:caps w:val="0"/>
          <w:color w:val="000000"/>
          <w:spacing w:val="0"/>
          <w:sz w:val="24"/>
          <w:szCs w:val="24"/>
          <w:shd w:val="clear" w:color="auto" w:fill="FFFFFF"/>
        </w:rPr>
        <w:t>  2018年环保局政府采购支出总额0万元，其中：政府采购货物支出0万元，政府采购工程支出0万元，政府采购服务支出0万元。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000000"/>
          <w:spacing w:val="0"/>
          <w:sz w:val="24"/>
          <w:szCs w:val="24"/>
          <w:shd w:val="clear" w:color="auto" w:fill="FFFFFF"/>
        </w:rPr>
        <w:t>（五）决算收支增减变化情况说明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pPr>
      <w:r>
        <w:rPr>
          <w:rFonts w:hint="default" w:ascii="仿宋_GB2312" w:hAnsi="微软雅黑" w:eastAsia="仿宋_GB2312" w:cs="仿宋_GB2312"/>
          <w:i w:val="0"/>
          <w:iCs w:val="0"/>
          <w:caps w:val="0"/>
          <w:color w:val="000000"/>
          <w:spacing w:val="0"/>
          <w:sz w:val="24"/>
          <w:szCs w:val="24"/>
          <w:shd w:val="clear" w:color="auto" w:fill="FFFFFF"/>
        </w:rPr>
        <w:t>2018年环保局总收支306.81万元，比2017年169.77万元增加137.04万元（其中项目支出122.57万元），原因2017年没有项目支出。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Fonts w:hint="default" w:ascii="仿宋_GB2312" w:hAnsi="微软雅黑" w:eastAsia="仿宋_GB2312" w:cs="仿宋_GB2312"/>
          <w:i w:val="0"/>
          <w:iCs w:val="0"/>
          <w:caps w:val="0"/>
          <w:color w:val="000000"/>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宋体" w:hAnsi="宋体" w:eastAsia="宋体" w:cs="宋体"/>
          <w:i w:val="0"/>
          <w:iCs w:val="0"/>
          <w:caps w:val="0"/>
          <w:color w:val="333333"/>
          <w:spacing w:val="0"/>
          <w:sz w:val="24"/>
          <w:szCs w:val="24"/>
          <w:shd w:val="clear" w:color="auto" w:fill="FFFFFF"/>
        </w:rPr>
        <w:t>第四部分 名词解释</w:t>
      </w:r>
      <w:r>
        <w:rPr>
          <w:rFonts w:hint="eastAsia" w:ascii="黑体" w:hAnsi="宋体" w:eastAsia="黑体" w:cs="黑体"/>
          <w:i w:val="0"/>
          <w:iCs w:val="0"/>
          <w:caps w:val="0"/>
          <w:color w:val="333333"/>
          <w:spacing w:val="0"/>
          <w:sz w:val="24"/>
          <w:szCs w:val="24"/>
          <w:shd w:val="clear" w:color="auto"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1.财政拨款收入：</w:t>
      </w:r>
      <w:r>
        <w:rPr>
          <w:rFonts w:hint="default" w:ascii="仿宋_GB2312" w:hAnsi="微软雅黑" w:eastAsia="仿宋_GB2312" w:cs="仿宋_GB2312"/>
          <w:i w:val="0"/>
          <w:iCs w:val="0"/>
          <w:caps w:val="0"/>
          <w:color w:val="333333"/>
          <w:spacing w:val="0"/>
          <w:sz w:val="24"/>
          <w:szCs w:val="24"/>
          <w:shd w:val="clear" w:color="auto" w:fill="FFFFFF"/>
        </w:rPr>
        <w:t>指市级财政当年拨付的资金。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2.上级补助收入：</w:t>
      </w:r>
      <w:r>
        <w:rPr>
          <w:rFonts w:hint="default" w:ascii="仿宋_GB2312" w:hAnsi="微软雅黑" w:eastAsia="仿宋_GB2312" w:cs="仿宋_GB2312"/>
          <w:i w:val="0"/>
          <w:iCs w:val="0"/>
          <w:caps w:val="0"/>
          <w:color w:val="333333"/>
          <w:spacing w:val="0"/>
          <w:sz w:val="24"/>
          <w:szCs w:val="24"/>
          <w:shd w:val="clear" w:color="auto" w:fill="FFFFFF"/>
        </w:rPr>
        <w:t>指单位从主管部门和上级单位取得的非财政性补助收入。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3.事业收入：</w:t>
      </w:r>
      <w:r>
        <w:rPr>
          <w:rFonts w:hint="default" w:ascii="仿宋_GB2312" w:hAnsi="微软雅黑" w:eastAsia="仿宋_GB2312" w:cs="仿宋_GB2312"/>
          <w:i w:val="0"/>
          <w:iCs w:val="0"/>
          <w:caps w:val="0"/>
          <w:color w:val="333333"/>
          <w:spacing w:val="0"/>
          <w:sz w:val="24"/>
          <w:szCs w:val="24"/>
          <w:shd w:val="clear" w:color="auto" w:fill="FFFFFF"/>
        </w:rPr>
        <w:t>指事业单位开展专业业务活动及辅助活动所取得的收入。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4.经营收入：</w:t>
      </w:r>
      <w:r>
        <w:rPr>
          <w:rFonts w:hint="default" w:ascii="仿宋_GB2312" w:hAnsi="微软雅黑" w:eastAsia="仿宋_GB2312" w:cs="仿宋_GB2312"/>
          <w:i w:val="0"/>
          <w:iCs w:val="0"/>
          <w:caps w:val="0"/>
          <w:color w:val="333333"/>
          <w:spacing w:val="0"/>
          <w:sz w:val="24"/>
          <w:szCs w:val="24"/>
          <w:shd w:val="clear" w:color="auto" w:fill="FFFFFF"/>
        </w:rPr>
        <w:t>指事业单位在专业业务活动及辅助活动之外开展非独立核算经营活动取得的收入。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5.附属单位上缴收入：</w:t>
      </w:r>
      <w:r>
        <w:rPr>
          <w:rFonts w:hint="default" w:ascii="仿宋_GB2312" w:hAnsi="微软雅黑" w:eastAsia="仿宋_GB2312" w:cs="仿宋_GB2312"/>
          <w:i w:val="0"/>
          <w:iCs w:val="0"/>
          <w:caps w:val="0"/>
          <w:color w:val="333333"/>
          <w:spacing w:val="0"/>
          <w:sz w:val="24"/>
          <w:szCs w:val="24"/>
          <w:shd w:val="clear" w:color="auto" w:fill="FFFFFF"/>
        </w:rPr>
        <w:t>指单位附属的独立核算单位按照规定上缴的收入。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6.其他收入：</w:t>
      </w:r>
      <w:r>
        <w:rPr>
          <w:rFonts w:hint="default" w:ascii="仿宋_GB2312" w:hAnsi="微软雅黑" w:eastAsia="仿宋_GB2312" w:cs="仿宋_GB2312"/>
          <w:i w:val="0"/>
          <w:iCs w:val="0"/>
          <w:caps w:val="0"/>
          <w:color w:val="333333"/>
          <w:spacing w:val="0"/>
          <w:sz w:val="24"/>
          <w:szCs w:val="24"/>
          <w:shd w:val="clear" w:color="auto" w:fill="FFFFFF"/>
        </w:rPr>
        <w:t>指除上述“财政拨款收入”、</w:t>
      </w:r>
      <w:r>
        <w:rPr>
          <w:rStyle w:val="6"/>
          <w:rFonts w:hint="default" w:ascii="仿宋_GB2312" w:hAnsi="微软雅黑" w:eastAsia="仿宋_GB2312" w:cs="仿宋_GB2312"/>
          <w:i w:val="0"/>
          <w:iCs w:val="0"/>
          <w:caps w:val="0"/>
          <w:color w:val="333333"/>
          <w:spacing w:val="0"/>
          <w:sz w:val="24"/>
          <w:szCs w:val="24"/>
          <w:shd w:val="clear" w:color="auto" w:fill="FFFFFF"/>
        </w:rPr>
        <w:t> </w:t>
      </w:r>
      <w:r>
        <w:rPr>
          <w:rFonts w:hint="default" w:ascii="仿宋_GB2312" w:hAnsi="微软雅黑" w:eastAsia="仿宋_GB2312" w:cs="仿宋_GB2312"/>
          <w:i w:val="0"/>
          <w:iCs w:val="0"/>
          <w:caps w:val="0"/>
          <w:color w:val="333333"/>
          <w:spacing w:val="0"/>
          <w:sz w:val="24"/>
          <w:szCs w:val="24"/>
          <w:shd w:val="clear" w:color="auto" w:fill="FFFFFF"/>
        </w:rPr>
        <w:t>“上级补助收入”、“事业收入”、“经营收入”、“附属单位上缴收入”等以外的收入。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7.用事业基金弥补收支差额：</w:t>
      </w:r>
      <w:r>
        <w:rPr>
          <w:rFonts w:hint="default" w:ascii="仿宋_GB2312" w:hAnsi="微软雅黑" w:eastAsia="仿宋_GB2312" w:cs="仿宋_GB2312"/>
          <w:i w:val="0"/>
          <w:iCs w:val="0"/>
          <w:caps w:val="0"/>
          <w:color w:val="333333"/>
          <w:spacing w:val="0"/>
          <w:sz w:val="24"/>
          <w:szCs w:val="24"/>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8.上年结转和结余：</w:t>
      </w:r>
      <w:r>
        <w:rPr>
          <w:rFonts w:hint="default" w:ascii="仿宋_GB2312" w:hAnsi="微软雅黑" w:eastAsia="仿宋_GB2312" w:cs="仿宋_GB2312"/>
          <w:i w:val="0"/>
          <w:iCs w:val="0"/>
          <w:caps w:val="0"/>
          <w:color w:val="333333"/>
          <w:spacing w:val="0"/>
          <w:sz w:val="24"/>
          <w:szCs w:val="24"/>
          <w:shd w:val="clear" w:color="auto" w:fill="FFFFFF"/>
        </w:rPr>
        <w:t>指以前年度尚未完成、结转到本年按有关规定继续使用的资金。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9.基本支出：</w:t>
      </w:r>
      <w:r>
        <w:rPr>
          <w:rFonts w:hint="default" w:ascii="仿宋_GB2312" w:hAnsi="微软雅黑" w:eastAsia="仿宋_GB2312" w:cs="仿宋_GB2312"/>
          <w:i w:val="0"/>
          <w:iCs w:val="0"/>
          <w:caps w:val="0"/>
          <w:color w:val="333333"/>
          <w:spacing w:val="0"/>
          <w:sz w:val="24"/>
          <w:szCs w:val="24"/>
          <w:shd w:val="clear" w:color="auto" w:fill="FFFFFF"/>
        </w:rPr>
        <w:t>指保障机构正常运转、完成日常工作任务而发生的人员支出和公用支出。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10.项目支出：</w:t>
      </w:r>
      <w:r>
        <w:rPr>
          <w:rFonts w:hint="default" w:ascii="仿宋_GB2312" w:hAnsi="微软雅黑" w:eastAsia="仿宋_GB2312" w:cs="仿宋_GB2312"/>
          <w:i w:val="0"/>
          <w:iCs w:val="0"/>
          <w:caps w:val="0"/>
          <w:color w:val="333333"/>
          <w:spacing w:val="0"/>
          <w:sz w:val="24"/>
          <w:szCs w:val="24"/>
          <w:shd w:val="clear" w:color="auto" w:fill="FFFFFF"/>
        </w:rPr>
        <w:t>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11.“三公”经费：</w:t>
      </w:r>
      <w:r>
        <w:rPr>
          <w:rFonts w:hint="default" w:ascii="仿宋_GB2312" w:hAnsi="微软雅黑" w:eastAsia="仿宋_GB2312" w:cs="仿宋_GB2312"/>
          <w:i w:val="0"/>
          <w:iCs w:val="0"/>
          <w:caps w:val="0"/>
          <w:color w:val="333333"/>
          <w:spacing w:val="0"/>
          <w:sz w:val="24"/>
          <w:szCs w:val="24"/>
          <w:shd w:val="clear" w:color="auto" w:fill="FFFFFF"/>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12.一般公共服务（类）财政事务（款）行政运行（项）：</w:t>
      </w:r>
      <w:r>
        <w:rPr>
          <w:rFonts w:hint="default" w:ascii="仿宋_GB2312" w:hAnsi="微软雅黑" w:eastAsia="仿宋_GB2312" w:cs="仿宋_GB2312"/>
          <w:i w:val="0"/>
          <w:iCs w:val="0"/>
          <w:caps w:val="0"/>
          <w:color w:val="333333"/>
          <w:spacing w:val="0"/>
          <w:sz w:val="24"/>
          <w:szCs w:val="24"/>
          <w:shd w:val="clear" w:color="auto" w:fill="FFFFFF"/>
        </w:rPr>
        <w:t>反映行政单位（包括实行公务员管理的事业单位）的基本支出。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13.一般公共服务（类）财政事务（款）一般行政管理事务（项）：</w:t>
      </w:r>
      <w:r>
        <w:rPr>
          <w:rFonts w:hint="default" w:ascii="仿宋_GB2312" w:hAnsi="微软雅黑" w:eastAsia="仿宋_GB2312" w:cs="仿宋_GB2312"/>
          <w:i w:val="0"/>
          <w:iCs w:val="0"/>
          <w:caps w:val="0"/>
          <w:color w:val="333333"/>
          <w:spacing w:val="0"/>
          <w:sz w:val="24"/>
          <w:szCs w:val="24"/>
          <w:shd w:val="clear" w:color="auto" w:fill="FFFFFF"/>
        </w:rPr>
        <w:t>反映行政单位（包括实行公务员管理的事业单位）未单独设置项级科目的其他项目支出。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14.一般公共服务（类）财政事务（款）预算改革业务（项）：</w:t>
      </w:r>
      <w:r>
        <w:rPr>
          <w:rFonts w:hint="default" w:ascii="仿宋_GB2312" w:hAnsi="微软雅黑" w:eastAsia="仿宋_GB2312" w:cs="仿宋_GB2312"/>
          <w:i w:val="0"/>
          <w:iCs w:val="0"/>
          <w:caps w:val="0"/>
          <w:color w:val="333333"/>
          <w:spacing w:val="0"/>
          <w:sz w:val="24"/>
          <w:szCs w:val="24"/>
          <w:shd w:val="clear" w:color="auto" w:fill="FFFFFF"/>
        </w:rPr>
        <w:t>反映财政部门用于预算改革方面的支出。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15.一般公共服务（类）财政事务（款）财政国库业务（项）：</w:t>
      </w:r>
      <w:r>
        <w:rPr>
          <w:rFonts w:hint="default" w:ascii="仿宋_GB2312" w:hAnsi="微软雅黑" w:eastAsia="仿宋_GB2312" w:cs="仿宋_GB2312"/>
          <w:i w:val="0"/>
          <w:iCs w:val="0"/>
          <w:caps w:val="0"/>
          <w:color w:val="333333"/>
          <w:spacing w:val="0"/>
          <w:sz w:val="24"/>
          <w:szCs w:val="24"/>
          <w:shd w:val="clear" w:color="auto" w:fill="FFFFFF"/>
        </w:rPr>
        <w:t>反映财政部门用于财政国库集中收付业务方面的支出。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16.一般公共服务（类）财政事务（款）信息化建设支（项）：</w:t>
      </w:r>
      <w:r>
        <w:rPr>
          <w:rFonts w:hint="default" w:ascii="仿宋_GB2312" w:hAnsi="微软雅黑" w:eastAsia="仿宋_GB2312" w:cs="仿宋_GB2312"/>
          <w:i w:val="0"/>
          <w:iCs w:val="0"/>
          <w:caps w:val="0"/>
          <w:color w:val="333333"/>
          <w:spacing w:val="0"/>
          <w:sz w:val="24"/>
          <w:szCs w:val="24"/>
          <w:shd w:val="clear" w:color="auto" w:fill="FFFFFF"/>
        </w:rPr>
        <w:t>反映财政部门用于“金财工程”等信息化建设方面的支出。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17.一般公共服务（类）财政事务（款）事业运行（项）：</w:t>
      </w:r>
      <w:r>
        <w:rPr>
          <w:rFonts w:hint="default" w:ascii="仿宋_GB2312" w:hAnsi="微软雅黑" w:eastAsia="仿宋_GB2312" w:cs="仿宋_GB2312"/>
          <w:i w:val="0"/>
          <w:iCs w:val="0"/>
          <w:caps w:val="0"/>
          <w:color w:val="333333"/>
          <w:spacing w:val="0"/>
          <w:sz w:val="24"/>
          <w:szCs w:val="24"/>
          <w:shd w:val="clear" w:color="auto" w:fill="FFFFFF"/>
        </w:rPr>
        <w:t>反映事业单位的基本支出，不包括行政单位（包括实行公务员管理的事业单位）后勤服务中心、医务室等附属事业单位。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18.一般公共服务（类）财政事务（款）其他财政事务支出（项）：</w:t>
      </w:r>
      <w:r>
        <w:rPr>
          <w:rFonts w:hint="default" w:ascii="仿宋_GB2312" w:hAnsi="微软雅黑" w:eastAsia="仿宋_GB2312" w:cs="仿宋_GB2312"/>
          <w:i w:val="0"/>
          <w:iCs w:val="0"/>
          <w:caps w:val="0"/>
          <w:color w:val="333333"/>
          <w:spacing w:val="0"/>
          <w:sz w:val="24"/>
          <w:szCs w:val="24"/>
          <w:shd w:val="clear" w:color="auto" w:fill="FFFFFF"/>
        </w:rPr>
        <w:t>反映除上述项目以外其他财政事务方面的支出。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19.一般公共服务（类）其他一般公共服务支出（款）其他一般公共服务支出（项）：</w:t>
      </w:r>
      <w:r>
        <w:rPr>
          <w:rFonts w:hint="default" w:ascii="仿宋_GB2312" w:hAnsi="微软雅黑" w:eastAsia="仿宋_GB2312" w:cs="仿宋_GB2312"/>
          <w:i w:val="0"/>
          <w:iCs w:val="0"/>
          <w:caps w:val="0"/>
          <w:color w:val="333333"/>
          <w:spacing w:val="0"/>
          <w:sz w:val="24"/>
          <w:szCs w:val="24"/>
          <w:shd w:val="clear" w:color="auto" w:fill="FFFFFF"/>
        </w:rPr>
        <w:t>反映除上述项目以外的其他一般公共服务支出。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20.科学技术（类）其他科学技术支出（款）其他科学技术支出（项）：</w:t>
      </w:r>
      <w:r>
        <w:rPr>
          <w:rFonts w:hint="default" w:ascii="仿宋_GB2312" w:hAnsi="微软雅黑" w:eastAsia="仿宋_GB2312" w:cs="仿宋_GB2312"/>
          <w:i w:val="0"/>
          <w:iCs w:val="0"/>
          <w:caps w:val="0"/>
          <w:color w:val="333333"/>
          <w:spacing w:val="0"/>
          <w:sz w:val="24"/>
          <w:szCs w:val="24"/>
          <w:shd w:val="clear" w:color="auto" w:fill="FFFFFF"/>
        </w:rPr>
        <w:t>反映其他用于科技方面的支出。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21.社会保障和就业（类）行政事业单位离退休（款）归口管理的行政单位离退休（项）：</w:t>
      </w:r>
      <w:r>
        <w:rPr>
          <w:rFonts w:hint="default" w:ascii="仿宋_GB2312" w:hAnsi="微软雅黑" w:eastAsia="仿宋_GB2312" w:cs="仿宋_GB2312"/>
          <w:i w:val="0"/>
          <w:iCs w:val="0"/>
          <w:caps w:val="0"/>
          <w:color w:val="333333"/>
          <w:spacing w:val="0"/>
          <w:sz w:val="24"/>
          <w:szCs w:val="24"/>
          <w:shd w:val="clear" w:color="auto" w:fill="FFFFFF"/>
        </w:rPr>
        <w:t>反映实行归口管理的行政单位（包括实行公务员管理的事业单位）开支的离退休经费。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22.社会保障和就业（类）行政事业单位离退休（款）事业单位离退休（项）：</w:t>
      </w:r>
      <w:r>
        <w:rPr>
          <w:rFonts w:hint="default" w:ascii="仿宋_GB2312" w:hAnsi="微软雅黑" w:eastAsia="仿宋_GB2312" w:cs="仿宋_GB2312"/>
          <w:i w:val="0"/>
          <w:iCs w:val="0"/>
          <w:caps w:val="0"/>
          <w:color w:val="333333"/>
          <w:spacing w:val="0"/>
          <w:sz w:val="24"/>
          <w:szCs w:val="24"/>
          <w:shd w:val="clear" w:color="auto" w:fill="FFFFFF"/>
        </w:rPr>
        <w:t>反映实行归口管理的事业单位开支的离退休经费。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23.医疗卫生（类）医疗保障（款）行政单位医疗（项）：</w:t>
      </w:r>
      <w:r>
        <w:rPr>
          <w:rFonts w:hint="default" w:ascii="仿宋_GB2312" w:hAnsi="微软雅黑" w:eastAsia="仿宋_GB2312" w:cs="仿宋_GB2312"/>
          <w:i w:val="0"/>
          <w:iCs w:val="0"/>
          <w:caps w:val="0"/>
          <w:color w:val="333333"/>
          <w:spacing w:val="0"/>
          <w:sz w:val="24"/>
          <w:szCs w:val="24"/>
          <w:shd w:val="clear" w:color="auto" w:fill="FFFFFF"/>
        </w:rPr>
        <w:t>反映财政部门集中安排的行政单位基本医疗保险缴费经费，未参加医疗保险的行政单位的公费医疗经费，按国家规定享受离休人员、红军老战士待遇人员的医疗经费。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24.医疗卫生（类）其他医疗卫生支出（款）其他医疗卫生支出（项）：</w:t>
      </w:r>
      <w:r>
        <w:rPr>
          <w:rFonts w:hint="default" w:ascii="仿宋_GB2312" w:hAnsi="微软雅黑" w:eastAsia="仿宋_GB2312" w:cs="仿宋_GB2312"/>
          <w:i w:val="0"/>
          <w:iCs w:val="0"/>
          <w:caps w:val="0"/>
          <w:color w:val="333333"/>
          <w:spacing w:val="0"/>
          <w:sz w:val="24"/>
          <w:szCs w:val="24"/>
          <w:shd w:val="clear" w:color="auto" w:fill="FFFFFF"/>
        </w:rPr>
        <w:t>反映除上述项目以外其他用于医疗卫生方面的支出。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25.农林水事务（类）农业（款）其他农业支出（项）：</w:t>
      </w:r>
      <w:r>
        <w:rPr>
          <w:rFonts w:hint="default" w:ascii="仿宋_GB2312" w:hAnsi="微软雅黑" w:eastAsia="仿宋_GB2312" w:cs="仿宋_GB2312"/>
          <w:i w:val="0"/>
          <w:iCs w:val="0"/>
          <w:caps w:val="0"/>
          <w:color w:val="333333"/>
          <w:spacing w:val="0"/>
          <w:sz w:val="24"/>
          <w:szCs w:val="24"/>
          <w:shd w:val="clear" w:color="auto" w:fill="FFFFFF"/>
        </w:rPr>
        <w:t>反映其他用于农业方面的支出。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26.交通运输（类）石油价格改革对交通运输的补贴（款）石油价格改革补贴其他支出（项）：</w:t>
      </w:r>
      <w:r>
        <w:rPr>
          <w:rFonts w:hint="default" w:ascii="仿宋_GB2312" w:hAnsi="微软雅黑" w:eastAsia="仿宋_GB2312" w:cs="仿宋_GB2312"/>
          <w:i w:val="0"/>
          <w:iCs w:val="0"/>
          <w:caps w:val="0"/>
          <w:color w:val="333333"/>
          <w:spacing w:val="0"/>
          <w:sz w:val="24"/>
          <w:szCs w:val="24"/>
          <w:shd w:val="clear" w:color="auto" w:fill="FFFFFF"/>
        </w:rPr>
        <w:t>反映石油价格改革财政补贴对其他方面的支出。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27.资源勘探电力信息等事务（类）工业和信息产业监管支出（款）其他工业和信息产业监管支出（项）：</w:t>
      </w:r>
      <w:r>
        <w:rPr>
          <w:rFonts w:hint="default" w:ascii="仿宋_GB2312" w:hAnsi="微软雅黑" w:eastAsia="仿宋_GB2312" w:cs="仿宋_GB2312"/>
          <w:i w:val="0"/>
          <w:iCs w:val="0"/>
          <w:caps w:val="0"/>
          <w:color w:val="333333"/>
          <w:spacing w:val="0"/>
          <w:sz w:val="24"/>
          <w:szCs w:val="24"/>
          <w:shd w:val="clear" w:color="auto" w:fill="FFFFFF"/>
        </w:rPr>
        <w:t>反映其他用于工业和信息产业监管方面的支出。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28.商业服务业等事务（类）商业流通事务（款）其他商业流通事务支出（项）：</w:t>
      </w:r>
      <w:r>
        <w:rPr>
          <w:rFonts w:hint="default" w:ascii="仿宋_GB2312" w:hAnsi="微软雅黑" w:eastAsia="仿宋_GB2312" w:cs="仿宋_GB2312"/>
          <w:i w:val="0"/>
          <w:iCs w:val="0"/>
          <w:caps w:val="0"/>
          <w:color w:val="333333"/>
          <w:spacing w:val="0"/>
          <w:sz w:val="24"/>
          <w:szCs w:val="24"/>
          <w:shd w:val="clear" w:color="auto" w:fill="FFFFFF"/>
        </w:rPr>
        <w:t>反映其他用于商业流通事务方面的支出。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29. 商业服务业等事务（类）商业流通事务（款）其他涉外发展服务支出（项）：</w:t>
      </w:r>
      <w:r>
        <w:rPr>
          <w:rFonts w:hint="default" w:ascii="仿宋_GB2312" w:hAnsi="微软雅黑" w:eastAsia="仿宋_GB2312" w:cs="仿宋_GB2312"/>
          <w:i w:val="0"/>
          <w:iCs w:val="0"/>
          <w:caps w:val="0"/>
          <w:color w:val="333333"/>
          <w:spacing w:val="0"/>
          <w:sz w:val="24"/>
          <w:szCs w:val="24"/>
          <w:shd w:val="clear" w:color="auto" w:fill="FFFFFF"/>
        </w:rPr>
        <w:t>反映其他用于涉外发展服务方面的支出。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30. 国土资源气象等事务（类）国土资源事务（款）其他国土资源事务支出（项）：</w:t>
      </w:r>
      <w:r>
        <w:rPr>
          <w:rFonts w:hint="default" w:ascii="仿宋_GB2312" w:hAnsi="微软雅黑" w:eastAsia="仿宋_GB2312" w:cs="仿宋_GB2312"/>
          <w:i w:val="0"/>
          <w:iCs w:val="0"/>
          <w:caps w:val="0"/>
          <w:color w:val="333333"/>
          <w:spacing w:val="0"/>
          <w:sz w:val="24"/>
          <w:szCs w:val="24"/>
          <w:shd w:val="clear" w:color="auto" w:fill="FFFFFF"/>
        </w:rPr>
        <w:t>反映其他用于国土资源事务方面的支出。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31.住房保障（类）住房改革（款）住房公积金（项）：</w:t>
      </w:r>
      <w:r>
        <w:rPr>
          <w:rFonts w:hint="default" w:ascii="仿宋_GB2312" w:hAnsi="微软雅黑" w:eastAsia="仿宋_GB2312" w:cs="仿宋_GB2312"/>
          <w:i w:val="0"/>
          <w:iCs w:val="0"/>
          <w:caps w:val="0"/>
          <w:color w:val="333333"/>
          <w:spacing w:val="0"/>
          <w:sz w:val="24"/>
          <w:szCs w:val="24"/>
          <w:shd w:val="clear" w:color="auto" w:fill="FFFFFF"/>
        </w:rPr>
        <w:t>反映行政事业单位按人力资源和社会保障部、财政部规定的基本工资和津贴补贴以及规定比例为职工缴纳的住房公积金。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80"/>
        <w:jc w:val="left"/>
      </w:pPr>
      <w:r>
        <w:rPr>
          <w:rStyle w:val="6"/>
          <w:rFonts w:hint="default" w:ascii="仿宋_GB2312" w:hAnsi="微软雅黑" w:eastAsia="仿宋_GB2312" w:cs="仿宋_GB2312"/>
          <w:i w:val="0"/>
          <w:iCs w:val="0"/>
          <w:caps w:val="0"/>
          <w:color w:val="333333"/>
          <w:spacing w:val="0"/>
          <w:sz w:val="24"/>
          <w:szCs w:val="24"/>
          <w:shd w:val="clear" w:color="auto" w:fill="FFFFFF"/>
        </w:rPr>
        <w:t>32.其他支出（类）其他支出（款）其他支出（项）：</w:t>
      </w:r>
      <w:r>
        <w:rPr>
          <w:rFonts w:hint="default" w:ascii="仿宋_GB2312" w:hAnsi="微软雅黑" w:eastAsia="仿宋_GB2312" w:cs="仿宋_GB2312"/>
          <w:i w:val="0"/>
          <w:iCs w:val="0"/>
          <w:caps w:val="0"/>
          <w:color w:val="333333"/>
          <w:spacing w:val="0"/>
          <w:sz w:val="24"/>
          <w:szCs w:val="24"/>
          <w:shd w:val="clear" w:color="auto" w:fill="FFFFFF"/>
        </w:rPr>
        <w:t>反映其他不能划分到具体功能科目中的支出项目。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465"/>
      </w:pPr>
      <w:r>
        <w:rPr>
          <w:rStyle w:val="6"/>
          <w:rFonts w:hint="default" w:ascii="仿宋_GB2312" w:hAnsi="微软雅黑" w:eastAsia="仿宋_GB2312" w:cs="仿宋_GB2312"/>
          <w:i w:val="0"/>
          <w:iCs w:val="0"/>
          <w:caps w:val="0"/>
          <w:color w:val="333333"/>
          <w:spacing w:val="0"/>
          <w:sz w:val="24"/>
          <w:szCs w:val="24"/>
          <w:shd w:val="clear" w:color="auto" w:fill="FFFFFF"/>
        </w:rPr>
        <w:t>33.机关运行经费：</w:t>
      </w:r>
      <w:r>
        <w:rPr>
          <w:rFonts w:hint="default" w:ascii="仿宋_GB2312" w:hAnsi="微软雅黑" w:eastAsia="仿宋_GB2312" w:cs="仿宋_GB2312"/>
          <w:i w:val="0"/>
          <w:iCs w:val="0"/>
          <w:caps w:val="0"/>
          <w:color w:val="333333"/>
          <w:spacing w:val="0"/>
          <w:sz w:val="24"/>
          <w:szCs w:val="24"/>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hZmY5NTg1MzRjM2M4OWZmMjM2NWE1YmEzOWQxNTYifQ=="/>
    <w:docVar w:name="KSO_WPS_MARK_KEY" w:val="e982574c-ad6c-4871-a264-7e158fb858ad"/>
  </w:docVars>
  <w:rsids>
    <w:rsidRoot w:val="00000000"/>
    <w:rsid w:val="07C815A2"/>
    <w:rsid w:val="16877182"/>
    <w:rsid w:val="1AE7464B"/>
    <w:rsid w:val="227D29D9"/>
    <w:rsid w:val="387D44C9"/>
    <w:rsid w:val="3D524178"/>
    <w:rsid w:val="478306F8"/>
    <w:rsid w:val="52992692"/>
    <w:rsid w:val="576F4C20"/>
    <w:rsid w:val="63BD2623"/>
    <w:rsid w:val="7269589A"/>
    <w:rsid w:val="7E4243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6371</Words>
  <Characters>7842</Characters>
  <Lines>0</Lines>
  <Paragraphs>0</Paragraphs>
  <TotalTime>11</TotalTime>
  <ScaleCrop>false</ScaleCrop>
  <LinksUpToDate>false</LinksUpToDate>
  <CharactersWithSpaces>8080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2021-05-26T04:50:07Z</dcterms:created>
  <dc:creator>Administrator.BFDN-20180124HN</dc:creator>
  <cp:lastModifiedBy>Administrator</cp:lastModifiedBy>
  <dcterms:modified xsi:type="dcterms:W3CDTF">2024-01-23T00:57:02Z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18BF488282424D7796580BE10561E65B_13</vt:lpwstr>
  </property>
</Properties>
</file>